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word/_rels/document.xml.rels" ContentType="application/vnd.openxmlformats-package.relationships+xml"/>
  <Override PartName="/word/_rels/footnotes.xml.rels" ContentType="application/vnd.openxmlformats-package.relationships+xml"/>
  <Override PartName="/word/footer17.xml" ContentType="application/vnd.openxmlformats-officedocument.wordprocessingml.footer+xml"/>
  <Override PartName="/word/footer8.xml" ContentType="application/vnd.openxmlformats-officedocument.wordprocessingml.footer+xml"/>
  <Override PartName="/word/footer16.xml" ContentType="application/vnd.openxmlformats-officedocument.wordprocessingml.footer+xml"/>
  <Override PartName="/word/footer7.xml" ContentType="application/vnd.openxmlformats-officedocument.wordprocessingml.footer+xml"/>
  <Override PartName="/word/footer9.xml" ContentType="application/vnd.openxmlformats-officedocument.wordprocessingml.footer+xml"/>
  <Override PartName="/word/styles.xml" ContentType="application/vnd.openxmlformats-officedocument.wordprocessingml.styles+xml"/>
  <Override PartName="/word/media/image1.png" ContentType="image/png"/>
  <Override PartName="/word/media/image2.png" ContentType="image/png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word/footer10.xml" ContentType="application/vnd.openxmlformats-officedocument.wordprocessingml.footer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er2.xml" ContentType="application/vnd.openxmlformats-officedocument.wordprocessingml.footer+xml"/>
  <Override PartName="/word/footer11.xml" ContentType="application/vnd.openxmlformats-officedocument.wordprocessingml.footer+xml"/>
  <Override PartName="/word/footnotes.xml" ContentType="application/vnd.openxmlformats-officedocument.wordprocessingml.footnotes+xml"/>
  <Override PartName="/word/footer3.xml" ContentType="application/vnd.openxmlformats-officedocument.wordprocessingml.footer+xml"/>
  <Override PartName="/word/footer12.xml" ContentType="application/vnd.openxmlformats-officedocument.wordprocessingml.footer+xml"/>
  <Override PartName="/word/footer4.xml" ContentType="application/vnd.openxmlformats-officedocument.wordprocessingml.footer+xml"/>
  <Override PartName="/word/footer13.xml" ContentType="application/vnd.openxmlformats-officedocument.wordprocessingml.footer+xml"/>
  <Override PartName="/word/footer5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6.xml" ContentType="application/vnd.openxmlformats-officedocument.wordprocessingml.footer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tabs>
          <w:tab w:val="clear" w:pos="708"/>
          <w:tab w:val="left" w:pos="567" w:leader="none"/>
        </w:tabs>
        <w:spacing w:lineRule="auto" w:line="240" w:before="0" w:after="0"/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Приложение № </w:t>
      </w:r>
      <w:r>
        <w:rPr>
          <w:rFonts w:ascii="Times New Roman" w:hAnsi="Times New Roman"/>
          <w:bCs/>
          <w:sz w:val="28"/>
          <w:szCs w:val="28"/>
        </w:rPr>
        <w:t>7</w:t>
      </w:r>
    </w:p>
    <w:p>
      <w:pPr>
        <w:pStyle w:val="Normal"/>
        <w:tabs>
          <w:tab w:val="clear" w:pos="708"/>
          <w:tab w:val="left" w:pos="567" w:leader="none"/>
        </w:tabs>
        <w:spacing w:lineRule="auto" w:line="240" w:before="0" w:after="0"/>
        <w:jc w:val="right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 Техническ</w:t>
      </w:r>
      <w:r>
        <w:rPr>
          <w:rFonts w:ascii="Times New Roman" w:hAnsi="Times New Roman"/>
          <w:bCs/>
          <w:sz w:val="28"/>
          <w:szCs w:val="28"/>
        </w:rPr>
        <w:t>им требованиям</w:t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</w:r>
    </w:p>
    <w:p>
      <w:pPr>
        <w:sectPr>
          <w:footerReference w:type="default" r:id="rId2"/>
          <w:type w:val="nextPage"/>
          <w:pgSz w:w="11906" w:h="16838"/>
          <w:pgMar w:left="1304" w:right="924" w:gutter="0" w:header="0" w:top="539" w:footer="709" w:bottom="1134"/>
          <w:pgNumType w:fmt="decimal"/>
          <w:formProt w:val="false"/>
          <w:textDirection w:val="lrTb"/>
          <w:docGrid w:type="default" w:linePitch="360" w:charSpace="4096"/>
        </w:sectPr>
        <w:pStyle w:val="Normal"/>
        <w:spacing w:lineRule="auto" w:line="240" w:before="0"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Требования к оформлению и составлению документации по ценообразованию 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eastAsia="Calibri"/>
        </w:rPr>
      </w:pPr>
      <w:r>
        <w:rPr>
          <w:rFonts w:eastAsia="Calibri"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eastAsia="Calibri"/>
        </w:rPr>
      </w:pPr>
      <w:r>
        <w:rPr>
          <w:rFonts w:eastAsia="Calibri"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eastAsia="Calibri"/>
        </w:rPr>
      </w:pPr>
      <w:r>
        <w:rPr>
          <w:rFonts w:eastAsia="Calibri" w:ascii="Times New Roman" w:hAnsi="Times New Roman"/>
        </w:rPr>
        <w:t xml:space="preserve">                                            </w:t>
      </w:r>
    </w:p>
    <w:tbl>
      <w:tblPr>
        <w:tblStyle w:val="ae"/>
        <w:tblW w:w="9825" w:type="dxa"/>
        <w:jc w:val="left"/>
        <w:tblInd w:w="-147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992"/>
        <w:gridCol w:w="8213"/>
        <w:gridCol w:w="620"/>
      </w:tblGrid>
      <w:tr>
        <w:trPr>
          <w:trHeight w:val="264" w:hRule="atLeast"/>
        </w:trPr>
        <w:tc>
          <w:tcPr>
            <w:tcW w:w="98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OC1"/>
              <w:widowControl/>
              <w:spacing w:before="0" w:after="0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  <w:t>СОДЕРЖАНИЕ:</w:t>
            </w:r>
          </w:p>
          <w:p>
            <w:pPr>
              <w:pStyle w:val="ConsPlusNormal1"/>
              <w:widowControl w:val="false"/>
              <w:tabs>
                <w:tab w:val="clear" w:pos="708"/>
                <w:tab w:val="left" w:pos="1260" w:leader="none"/>
              </w:tabs>
              <w:spacing w:before="0" w:after="0"/>
              <w:ind w:hanging="0"/>
              <w:jc w:val="center"/>
              <w:rPr>
                <w:rFonts w:ascii="Times New Roman" w:hAnsi="Times New Roman" w:eastAsia="Calibri"/>
              </w:rPr>
            </w:pPr>
            <w:r>
              <w:rPr>
                <w:rFonts w:eastAsia="Calibri" w:ascii="Times New Roman" w:hAnsi="Times New Roman"/>
                <w:kern w:val="0"/>
                <w:lang w:val="ru-RU" w:bidi="ar-SA"/>
              </w:rPr>
            </w:r>
          </w:p>
        </w:tc>
      </w:tr>
      <w:tr>
        <w:trPr/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ConsPlusNormal1"/>
              <w:widowControl w:val="false"/>
              <w:tabs>
                <w:tab w:val="clear" w:pos="708"/>
                <w:tab w:val="left" w:pos="1260" w:leader="none"/>
              </w:tabs>
              <w:spacing w:before="0" w:after="0"/>
              <w:ind w:hanging="0"/>
              <w:jc w:val="center"/>
              <w:rPr>
                <w:rFonts w:ascii="Times New Roman" w:hAnsi="Times New Roman" w:eastAsia="Calibri"/>
                <w:b/>
              </w:rPr>
            </w:pPr>
            <w:r>
              <w:rPr>
                <w:rFonts w:eastAsia="Calibri" w:ascii="Times New Roman" w:hAnsi="Times New Roman"/>
                <w:b/>
                <w:kern w:val="0"/>
                <w:lang w:val="ru-RU" w:bidi="ar-SA"/>
              </w:rPr>
              <w:t xml:space="preserve">№№ </w:t>
            </w:r>
            <w:r>
              <w:rPr>
                <w:rFonts w:eastAsia="Calibri" w:ascii="Times New Roman" w:hAnsi="Times New Roman"/>
                <w:b/>
                <w:kern w:val="0"/>
                <w:lang w:val="ru-RU" w:bidi="ar-SA"/>
              </w:rPr>
              <w:t>п/п</w:t>
            </w:r>
          </w:p>
          <w:p>
            <w:pPr>
              <w:pStyle w:val="ConsPlusNormal1"/>
              <w:widowControl w:val="false"/>
              <w:tabs>
                <w:tab w:val="clear" w:pos="708"/>
                <w:tab w:val="left" w:pos="1260" w:leader="none"/>
              </w:tabs>
              <w:spacing w:before="0" w:after="0"/>
              <w:ind w:hanging="0"/>
              <w:jc w:val="center"/>
              <w:rPr>
                <w:rFonts w:ascii="Times New Roman" w:hAnsi="Times New Roman" w:eastAsia="Calibri"/>
                <w:b/>
              </w:rPr>
            </w:pPr>
            <w:r>
              <w:rPr>
                <w:rFonts w:eastAsia="Calibri" w:ascii="Times New Roman" w:hAnsi="Times New Roman"/>
                <w:b/>
                <w:kern w:val="0"/>
                <w:lang w:val="ru-RU" w:bidi="ar-SA"/>
              </w:rPr>
            </w:r>
          </w:p>
        </w:tc>
        <w:tc>
          <w:tcPr>
            <w:tcW w:w="821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ConsPlusNormal1"/>
              <w:widowControl w:val="false"/>
              <w:tabs>
                <w:tab w:val="clear" w:pos="708"/>
                <w:tab w:val="left" w:pos="1260" w:leader="none"/>
              </w:tabs>
              <w:spacing w:before="0" w:after="0"/>
              <w:ind w:hanging="0"/>
              <w:jc w:val="center"/>
              <w:rPr>
                <w:rFonts w:ascii="Times New Roman" w:hAnsi="Times New Roman" w:eastAsia="Calibri"/>
                <w:b/>
              </w:rPr>
            </w:pPr>
            <w:r>
              <w:rPr>
                <w:rFonts w:eastAsia="Calibri" w:ascii="Times New Roman" w:hAnsi="Times New Roman"/>
                <w:b/>
                <w:kern w:val="0"/>
                <w:lang w:val="ru-RU" w:bidi="ar-SA"/>
              </w:rPr>
              <w:t>Наименование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ConsPlusNormal1"/>
              <w:widowControl w:val="false"/>
              <w:tabs>
                <w:tab w:val="clear" w:pos="708"/>
                <w:tab w:val="left" w:pos="1260" w:leader="none"/>
              </w:tabs>
              <w:spacing w:before="0" w:after="0"/>
              <w:ind w:hanging="0"/>
              <w:jc w:val="center"/>
              <w:rPr>
                <w:rFonts w:ascii="Times New Roman" w:hAnsi="Times New Roman" w:eastAsia="Calibri"/>
                <w:b/>
              </w:rPr>
            </w:pPr>
            <w:r>
              <w:rPr>
                <w:rFonts w:eastAsia="Calibri" w:ascii="Times New Roman" w:hAnsi="Times New Roman"/>
                <w:b/>
                <w:kern w:val="0"/>
                <w:lang w:val="ru-RU" w:bidi="ar-SA"/>
              </w:rPr>
              <w:t>Стр.</w:t>
            </w:r>
          </w:p>
        </w:tc>
      </w:tr>
      <w:tr>
        <w:trPr/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ConsPlusNormal1"/>
              <w:widowControl w:val="false"/>
              <w:tabs>
                <w:tab w:val="clear" w:pos="708"/>
                <w:tab w:val="left" w:pos="1260" w:leader="none"/>
              </w:tabs>
              <w:spacing w:before="0" w:after="0"/>
              <w:ind w:hanging="0"/>
              <w:jc w:val="center"/>
              <w:rPr>
                <w:rFonts w:ascii="Times New Roman" w:hAnsi="Times New Roman" w:eastAsia="Calibri"/>
              </w:rPr>
            </w:pPr>
            <w:r>
              <w:rPr>
                <w:rFonts w:eastAsia="Calibri" w:ascii="Times New Roman" w:hAnsi="Times New Roman"/>
                <w:kern w:val="0"/>
                <w:lang w:val="ru-RU" w:bidi="ar-SA"/>
              </w:rPr>
            </w:r>
          </w:p>
        </w:tc>
        <w:tc>
          <w:tcPr>
            <w:tcW w:w="821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ConsPlusNormal1"/>
              <w:widowControl w:val="false"/>
              <w:tabs>
                <w:tab w:val="clear" w:pos="708"/>
                <w:tab w:val="left" w:pos="1260" w:leader="none"/>
              </w:tabs>
              <w:spacing w:before="0" w:after="0"/>
              <w:ind w:hanging="0"/>
              <w:jc w:val="lef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  <w:kern w:val="0"/>
                <w:lang w:val="ru-RU" w:bidi="ar-SA"/>
              </w:rPr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ConsPlusNormal1"/>
              <w:widowControl w:val="false"/>
              <w:tabs>
                <w:tab w:val="clear" w:pos="708"/>
                <w:tab w:val="left" w:pos="1260" w:leader="none"/>
              </w:tabs>
              <w:spacing w:before="0" w:after="0"/>
              <w:ind w:hanging="0"/>
              <w:jc w:val="center"/>
              <w:rPr>
                <w:rFonts w:ascii="Times New Roman" w:hAnsi="Times New Roman" w:eastAsia="Calibri"/>
              </w:rPr>
            </w:pPr>
            <w:r>
              <w:rPr>
                <w:rFonts w:eastAsia="Calibri" w:ascii="Times New Roman" w:hAnsi="Times New Roman"/>
                <w:kern w:val="0"/>
                <w:lang w:val="ru-RU" w:bidi="ar-SA"/>
              </w:rPr>
            </w:r>
          </w:p>
        </w:tc>
      </w:tr>
      <w:tr>
        <w:trPr/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ConsPlusNormal1"/>
              <w:widowControl w:val="false"/>
              <w:tabs>
                <w:tab w:val="clear" w:pos="708"/>
                <w:tab w:val="left" w:pos="1260" w:leader="none"/>
              </w:tabs>
              <w:spacing w:before="0" w:after="0"/>
              <w:ind w:hanging="0"/>
              <w:jc w:val="center"/>
              <w:rPr>
                <w:rFonts w:ascii="Times New Roman" w:hAnsi="Times New Roman" w:eastAsia="Calibri"/>
              </w:rPr>
            </w:pPr>
            <w:r>
              <w:rPr>
                <w:rFonts w:eastAsia="Calibri" w:ascii="Times New Roman" w:hAnsi="Times New Roman"/>
                <w:kern w:val="0"/>
                <w:lang w:val="ru-RU" w:bidi="ar-SA"/>
              </w:rPr>
            </w:r>
          </w:p>
        </w:tc>
        <w:tc>
          <w:tcPr>
            <w:tcW w:w="821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ConsPlusNormal1"/>
              <w:widowControl w:val="false"/>
              <w:tabs>
                <w:tab w:val="clear" w:pos="708"/>
                <w:tab w:val="left" w:pos="1260" w:leader="none"/>
              </w:tabs>
              <w:spacing w:before="0" w:after="0"/>
              <w:ind w:hanging="0"/>
              <w:jc w:val="left"/>
              <w:rPr>
                <w:rFonts w:ascii="Times New Roman" w:hAnsi="Times New Roman" w:eastAsia="Calibri"/>
                <w:b/>
              </w:rPr>
            </w:pPr>
            <w:r>
              <w:rPr>
                <w:rFonts w:eastAsia="Calibri" w:ascii="Times New Roman" w:hAnsi="Times New Roman"/>
                <w:b/>
                <w:kern w:val="0"/>
                <w:lang w:val="ru-RU" w:bidi="ar-SA"/>
              </w:rPr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ConsPlusNormal1"/>
              <w:widowControl w:val="false"/>
              <w:tabs>
                <w:tab w:val="clear" w:pos="708"/>
                <w:tab w:val="left" w:pos="1260" w:leader="none"/>
              </w:tabs>
              <w:spacing w:before="0" w:after="0"/>
              <w:ind w:hanging="0"/>
              <w:jc w:val="center"/>
              <w:rPr>
                <w:rFonts w:ascii="Times New Roman" w:hAnsi="Times New Roman" w:eastAsia="Calibri"/>
              </w:rPr>
            </w:pPr>
            <w:r>
              <w:rPr>
                <w:rFonts w:eastAsia="Calibri" w:ascii="Times New Roman" w:hAnsi="Times New Roman"/>
                <w:kern w:val="0"/>
                <w:lang w:val="ru-RU" w:bidi="ar-SA"/>
              </w:rPr>
            </w:r>
          </w:p>
        </w:tc>
      </w:tr>
      <w:tr>
        <w:trPr/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ConsPlusNormal1"/>
              <w:widowControl w:val="false"/>
              <w:tabs>
                <w:tab w:val="clear" w:pos="708"/>
                <w:tab w:val="left" w:pos="1260" w:leader="none"/>
              </w:tabs>
              <w:spacing w:before="0" w:after="0"/>
              <w:ind w:hanging="0"/>
              <w:jc w:val="center"/>
              <w:rPr>
                <w:rFonts w:ascii="Times New Roman" w:hAnsi="Times New Roman" w:eastAsia="Calibri"/>
              </w:rPr>
            </w:pPr>
            <w:r>
              <w:rPr>
                <w:rFonts w:eastAsia="Calibri" w:ascii="Times New Roman" w:hAnsi="Times New Roman"/>
                <w:kern w:val="0"/>
                <w:lang w:val="ru-RU" w:bidi="ar-SA"/>
              </w:rPr>
            </w:r>
          </w:p>
        </w:tc>
        <w:tc>
          <w:tcPr>
            <w:tcW w:w="821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ConsPlusNormal1"/>
              <w:widowControl w:val="false"/>
              <w:tabs>
                <w:tab w:val="clear" w:pos="708"/>
                <w:tab w:val="left" w:pos="1260" w:leader="none"/>
              </w:tabs>
              <w:spacing w:before="0" w:after="0"/>
              <w:ind w:hanging="0"/>
              <w:jc w:val="lef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  <w:kern w:val="0"/>
                <w:lang w:val="ru-RU" w:bidi="ar-SA"/>
              </w:rPr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ConsPlusNormal1"/>
              <w:widowControl w:val="false"/>
              <w:tabs>
                <w:tab w:val="clear" w:pos="708"/>
                <w:tab w:val="left" w:pos="1260" w:leader="none"/>
              </w:tabs>
              <w:spacing w:before="0" w:after="0"/>
              <w:ind w:hanging="0"/>
              <w:jc w:val="center"/>
              <w:rPr>
                <w:rFonts w:ascii="Times New Roman" w:hAnsi="Times New Roman" w:eastAsia="Calibri"/>
              </w:rPr>
            </w:pPr>
            <w:r>
              <w:rPr>
                <w:rFonts w:eastAsia="Calibri" w:ascii="Times New Roman" w:hAnsi="Times New Roman"/>
                <w:kern w:val="0"/>
                <w:lang w:val="ru-RU" w:bidi="ar-SA"/>
              </w:rPr>
            </w:r>
          </w:p>
        </w:tc>
      </w:tr>
      <w:tr>
        <w:trPr/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ConsPlusNormal1"/>
              <w:widowControl w:val="false"/>
              <w:tabs>
                <w:tab w:val="clear" w:pos="708"/>
                <w:tab w:val="left" w:pos="1260" w:leader="none"/>
              </w:tabs>
              <w:spacing w:before="0" w:after="0"/>
              <w:ind w:hanging="0"/>
              <w:jc w:val="center"/>
              <w:rPr>
                <w:rFonts w:ascii="Times New Roman" w:hAnsi="Times New Roman" w:eastAsia="Calibri"/>
              </w:rPr>
            </w:pPr>
            <w:r>
              <w:rPr>
                <w:rFonts w:eastAsia="Calibri" w:ascii="Times New Roman" w:hAnsi="Times New Roman"/>
                <w:kern w:val="0"/>
                <w:lang w:val="ru-RU" w:bidi="ar-SA"/>
              </w:rPr>
              <w:t>1</w:t>
            </w:r>
          </w:p>
        </w:tc>
        <w:tc>
          <w:tcPr>
            <w:tcW w:w="821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ConsPlusNormal1"/>
              <w:widowControl w:val="false"/>
              <w:tabs>
                <w:tab w:val="clear" w:pos="708"/>
                <w:tab w:val="left" w:pos="1260" w:leader="none"/>
              </w:tabs>
              <w:spacing w:before="0" w:after="0"/>
              <w:ind w:hanging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kern w:val="0"/>
                <w:lang w:val="ru-RU" w:bidi="ar-SA"/>
              </w:rPr>
              <w:t>Приложение 3. Требования к оформлению и составлению сметной документации на выполнение проектных работ……………………………………………………………………..</w:t>
            </w:r>
          </w:p>
          <w:p>
            <w:pPr>
              <w:pStyle w:val="ConsPlusNormal1"/>
              <w:widowControl w:val="false"/>
              <w:tabs>
                <w:tab w:val="clear" w:pos="708"/>
                <w:tab w:val="left" w:pos="1260" w:leader="none"/>
              </w:tabs>
              <w:spacing w:before="0" w:after="0"/>
              <w:ind w:hanging="0"/>
              <w:jc w:val="left"/>
              <w:rPr>
                <w:rFonts w:ascii="Times New Roman" w:hAnsi="Times New Roman" w:eastAsia="Calibri"/>
                <w:b/>
              </w:rPr>
            </w:pPr>
            <w:r>
              <w:rPr>
                <w:rFonts w:eastAsia="Calibri" w:ascii="Times New Roman" w:hAnsi="Times New Roman"/>
                <w:b/>
                <w:kern w:val="0"/>
                <w:lang w:val="ru-RU" w:bidi="ar-SA"/>
              </w:rPr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ConsPlusNormal1"/>
              <w:widowControl w:val="false"/>
              <w:tabs>
                <w:tab w:val="clear" w:pos="708"/>
                <w:tab w:val="left" w:pos="1260" w:leader="none"/>
              </w:tabs>
              <w:spacing w:before="0" w:after="0"/>
              <w:ind w:hanging="0"/>
              <w:jc w:val="center"/>
              <w:rPr>
                <w:rFonts w:ascii="Times New Roman" w:hAnsi="Times New Roman" w:eastAsia="Calibri"/>
              </w:rPr>
            </w:pPr>
            <w:r>
              <w:rPr>
                <w:rFonts w:eastAsia="Calibri" w:ascii="Times New Roman" w:hAnsi="Times New Roman"/>
                <w:kern w:val="0"/>
                <w:lang w:val="ru-RU" w:bidi="ar-SA"/>
              </w:rPr>
              <w:t>3</w:t>
            </w:r>
          </w:p>
        </w:tc>
      </w:tr>
      <w:tr>
        <w:trPr/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ConsPlusNormal1"/>
              <w:widowControl w:val="false"/>
              <w:tabs>
                <w:tab w:val="clear" w:pos="708"/>
                <w:tab w:val="left" w:pos="1260" w:leader="none"/>
              </w:tabs>
              <w:spacing w:before="0" w:after="0"/>
              <w:ind w:hanging="0"/>
              <w:jc w:val="center"/>
              <w:rPr>
                <w:rFonts w:ascii="Times New Roman" w:hAnsi="Times New Roman" w:eastAsia="Calibri"/>
                <w:lang w:val="en-US"/>
              </w:rPr>
            </w:pPr>
            <w:r>
              <w:rPr>
                <w:rFonts w:eastAsia="Calibri" w:ascii="Times New Roman" w:hAnsi="Times New Roman"/>
                <w:kern w:val="0"/>
                <w:lang w:val="en-US" w:bidi="ar-SA"/>
              </w:rPr>
              <w:t>2</w:t>
            </w:r>
          </w:p>
        </w:tc>
        <w:tc>
          <w:tcPr>
            <w:tcW w:w="821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ConsPlusNormal1"/>
              <w:widowControl w:val="false"/>
              <w:tabs>
                <w:tab w:val="clear" w:pos="708"/>
                <w:tab w:val="left" w:pos="1260" w:leader="none"/>
              </w:tabs>
              <w:spacing w:before="0" w:after="0"/>
              <w:ind w:hanging="0"/>
              <w:jc w:val="left"/>
              <w:rPr>
                <w:rFonts w:ascii="Times New Roman" w:hAnsi="Times New Roman" w:eastAsia="Calibri"/>
                <w:b/>
              </w:rPr>
            </w:pPr>
            <w:r>
              <w:rPr>
                <w:rFonts w:ascii="Times New Roman" w:hAnsi="Times New Roman"/>
                <w:kern w:val="0"/>
                <w:lang w:val="ru-RU" w:bidi="ar-SA"/>
              </w:rPr>
              <w:t>Приложение 4. Требования к оформлению и составлению сметной документации на выполнение работ по программе ремонтов, реконструкции и техническому перевооружению в составе рабочей документации.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ConsPlusNormal1"/>
              <w:widowControl w:val="false"/>
              <w:tabs>
                <w:tab w:val="clear" w:pos="708"/>
                <w:tab w:val="left" w:pos="1260" w:leader="none"/>
              </w:tabs>
              <w:spacing w:before="0" w:after="0"/>
              <w:ind w:hanging="0"/>
              <w:jc w:val="center"/>
              <w:rPr>
                <w:rFonts w:ascii="Times New Roman" w:hAnsi="Times New Roman" w:eastAsia="Calibri"/>
                <w:lang w:val="en-US"/>
              </w:rPr>
            </w:pPr>
            <w:r>
              <w:rPr>
                <w:rFonts w:eastAsia="Calibri" w:ascii="Times New Roman" w:hAnsi="Times New Roman"/>
                <w:kern w:val="0"/>
                <w:lang w:val="en-US" w:bidi="ar-SA"/>
              </w:rPr>
              <w:t>14</w:t>
            </w:r>
          </w:p>
        </w:tc>
      </w:tr>
    </w:tbl>
    <w:p>
      <w:pPr>
        <w:pStyle w:val="Normal"/>
        <w:spacing w:lineRule="auto" w:line="240" w:before="0" w:after="0"/>
        <w:jc w:val="center"/>
        <w:rPr>
          <w:rFonts w:ascii="Times New Roman" w:hAnsi="Times New Roman" w:eastAsia="Calibri"/>
          <w:i/>
          <w:i/>
          <w:sz w:val="20"/>
          <w:szCs w:val="20"/>
        </w:rPr>
      </w:pPr>
      <w:r>
        <w:rPr>
          <w:rFonts w:eastAsia="Calibri" w:ascii="Times New Roman" w:hAnsi="Times New Roman"/>
          <w:i/>
          <w:sz w:val="20"/>
          <w:szCs w:val="20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Calibri"/>
          <w:i/>
          <w:i/>
          <w:sz w:val="20"/>
          <w:szCs w:val="20"/>
        </w:rPr>
      </w:pPr>
      <w:r>
        <w:rPr>
          <w:rFonts w:eastAsia="Calibri" w:ascii="Times New Roman" w:hAnsi="Times New Roman"/>
          <w:i/>
          <w:sz w:val="20"/>
          <w:szCs w:val="20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Calibri"/>
          <w:i/>
          <w:i/>
          <w:sz w:val="20"/>
          <w:szCs w:val="20"/>
        </w:rPr>
      </w:pPr>
      <w:r>
        <w:rPr>
          <w:rFonts w:eastAsia="Calibri" w:ascii="Times New Roman" w:hAnsi="Times New Roman"/>
          <w:i/>
          <w:sz w:val="20"/>
          <w:szCs w:val="20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Calibri"/>
          <w:i/>
          <w:i/>
          <w:sz w:val="20"/>
          <w:szCs w:val="20"/>
        </w:rPr>
      </w:pPr>
      <w:r>
        <w:rPr>
          <w:rFonts w:eastAsia="Calibri" w:ascii="Times New Roman" w:hAnsi="Times New Roman"/>
          <w:i/>
          <w:sz w:val="20"/>
          <w:szCs w:val="20"/>
        </w:rPr>
      </w:r>
    </w:p>
    <w:p>
      <w:pPr>
        <w:sectPr>
          <w:footerReference w:type="default" r:id="rId3"/>
          <w:footerReference w:type="first" r:id="rId4"/>
          <w:type w:val="nextPage"/>
          <w:pgSz w:w="11906" w:h="16838"/>
          <w:pgMar w:left="1304" w:right="924" w:gutter="0" w:header="0" w:top="539" w:footer="709" w:bottom="1134"/>
          <w:pgNumType w:fmt="decimal"/>
          <w:formProt w:val="false"/>
          <w:textDirection w:val="lrTb"/>
          <w:docGrid w:type="default" w:linePitch="360" w:charSpace="4096"/>
        </w:sectPr>
        <w:pStyle w:val="Normal"/>
        <w:spacing w:lineRule="auto" w:line="240" w:before="0" w:after="0"/>
        <w:jc w:val="center"/>
        <w:rPr>
          <w:rFonts w:ascii="Times New Roman" w:hAnsi="Times New Roman"/>
          <w:bCs/>
          <w:i/>
          <w:i/>
          <w:sz w:val="20"/>
          <w:szCs w:val="20"/>
        </w:rPr>
      </w:pPr>
      <w:bookmarkStart w:id="0" w:name="_GoBack"/>
      <w:r>
        <w:rPr>
          <w:rFonts w:ascii="Times New Roman" w:hAnsi="Times New Roman"/>
          <w:bCs/>
          <w:i/>
          <w:sz w:val="20"/>
          <w:szCs w:val="20"/>
        </w:rPr>
        <w:t xml:space="preserve"> </w:t>
      </w:r>
      <w:bookmarkEnd w:id="0"/>
    </w:p>
    <w:p>
      <w:pPr>
        <w:pStyle w:val="Normal"/>
        <w:spacing w:lineRule="auto" w:line="240" w:before="0" w:after="0"/>
        <w:jc w:val="right"/>
        <w:rPr>
          <w:rFonts w:ascii="Times New Roman" w:hAnsi="Times New Roman"/>
          <w:bCs/>
          <w:i/>
          <w:i/>
          <w:sz w:val="20"/>
          <w:szCs w:val="20"/>
        </w:rPr>
      </w:pPr>
      <w:r>
        <w:rPr>
          <w:rFonts w:eastAsia="Calibri" w:ascii="Times New Roman" w:hAnsi="Times New Roman"/>
          <w:i/>
          <w:sz w:val="20"/>
          <w:szCs w:val="20"/>
        </w:rPr>
        <w:t xml:space="preserve">Приложение 1 к </w:t>
      </w:r>
      <w:r>
        <w:rPr>
          <w:rFonts w:ascii="Times New Roman" w:hAnsi="Times New Roman"/>
          <w:bCs/>
          <w:i/>
          <w:sz w:val="20"/>
          <w:szCs w:val="20"/>
        </w:rPr>
        <w:t xml:space="preserve">Требованиям к оформлению и составлению 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  <w:bCs/>
          <w:i/>
          <w:i/>
          <w:sz w:val="20"/>
          <w:szCs w:val="20"/>
        </w:rPr>
      </w:pPr>
      <w:r>
        <w:rPr>
          <w:rFonts w:ascii="Times New Roman" w:hAnsi="Times New Roman"/>
          <w:bCs/>
          <w:i/>
          <w:sz w:val="20"/>
          <w:szCs w:val="20"/>
        </w:rPr>
        <w:t>документации по ценообразованию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Требования к оформлению и составлению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сметной документации на выполнение проектных работ.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</w:p>
    <w:p>
      <w:pPr>
        <w:pStyle w:val="ConsPlusNormal1"/>
        <w:numPr>
          <w:ilvl w:val="0"/>
          <w:numId w:val="13"/>
        </w:numPr>
        <w:tabs>
          <w:tab w:val="clear" w:pos="708"/>
          <w:tab w:val="left" w:pos="284" w:leader="none"/>
          <w:tab w:val="left" w:pos="1134" w:leader="none"/>
        </w:tabs>
        <w:ind w:left="0" w:firstLine="709"/>
        <w:jc w:val="both"/>
        <w:rPr>
          <w:rFonts w:ascii="Times New Roman" w:hAnsi="Times New Roman" w:cs="Times New Roman"/>
          <w:sz w:val="22"/>
        </w:rPr>
      </w:pPr>
      <w:r>
        <w:rPr>
          <w:rFonts w:cs="Times New Roman" w:ascii="Times New Roman" w:hAnsi="Times New Roman"/>
          <w:sz w:val="22"/>
        </w:rPr>
        <w:t>Настоящие требования разработаны для единого подхода к определению стоимости проектных работ.</w:t>
      </w:r>
    </w:p>
    <w:p>
      <w:pPr>
        <w:pStyle w:val="ConsPlusNormal1"/>
        <w:numPr>
          <w:ilvl w:val="0"/>
          <w:numId w:val="13"/>
        </w:numPr>
        <w:tabs>
          <w:tab w:val="clear" w:pos="708"/>
          <w:tab w:val="left" w:pos="284" w:leader="none"/>
          <w:tab w:val="left" w:pos="1134" w:leader="none"/>
        </w:tabs>
        <w:ind w:left="0" w:firstLine="709"/>
        <w:jc w:val="both"/>
        <w:rPr>
          <w:rFonts w:ascii="Times New Roman" w:hAnsi="Times New Roman" w:cs="Times New Roman"/>
          <w:sz w:val="22"/>
        </w:rPr>
      </w:pPr>
      <w:r>
        <w:rPr>
          <w:rFonts w:cs="Times New Roman" w:ascii="Times New Roman" w:hAnsi="Times New Roman"/>
          <w:sz w:val="22"/>
        </w:rPr>
        <w:t>Затраты на подготовку проектной и рабочей документации определяются расчетами на основании сметных нормативов, сведения о которых включены в ФРСН.</w:t>
      </w:r>
    </w:p>
    <w:p>
      <w:pPr>
        <w:pStyle w:val="ListParagraph"/>
        <w:numPr>
          <w:ilvl w:val="0"/>
          <w:numId w:val="13"/>
        </w:numPr>
        <w:tabs>
          <w:tab w:val="clear" w:pos="708"/>
          <w:tab w:val="left" w:pos="284" w:leader="none"/>
          <w:tab w:val="left" w:pos="1134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 xml:space="preserve">Сметы на проектные работы составлять на основании технических требований (технического задания) заказчика, графиков производства работ, программы изысканий. </w:t>
      </w:r>
    </w:p>
    <w:p>
      <w:pPr>
        <w:pStyle w:val="ListParagraph"/>
        <w:numPr>
          <w:ilvl w:val="0"/>
          <w:numId w:val="13"/>
        </w:numPr>
        <w:tabs>
          <w:tab w:val="clear" w:pos="708"/>
          <w:tab w:val="left" w:pos="284" w:leader="none"/>
          <w:tab w:val="left" w:pos="1134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  <w:szCs w:val="20"/>
        </w:rPr>
        <w:t>Стоимость проектных работ на строительство, реконструкцию и техническое перевооружение</w:t>
      </w:r>
      <w:r>
        <w:rPr>
          <w:rFonts w:ascii="Times New Roman" w:hAnsi="Times New Roman"/>
        </w:rPr>
        <w:t xml:space="preserve"> объектов производственного назначения определяется на основе Справочников базовых цен на соответствующие работы, входящих в ФРСН, «Методических указаний по применению Справочников базовых цен на проектные работы в строительстве», утвержденных Приказом Министерства регионального развития РФ от 29.12.2009 № 620 (далее - МУ) или иных актуальных методических указаний. </w:t>
      </w:r>
    </w:p>
    <w:p>
      <w:pPr>
        <w:pStyle w:val="ListParagraph"/>
        <w:numPr>
          <w:ilvl w:val="0"/>
          <w:numId w:val="13"/>
        </w:numPr>
        <w:tabs>
          <w:tab w:val="clear" w:pos="708"/>
          <w:tab w:val="left" w:pos="284" w:leader="none"/>
          <w:tab w:val="left" w:pos="993" w:leader="none"/>
          <w:tab w:val="left" w:pos="1134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При определении стоимости проектных работ в сметных расчетах указывать полное наименование нормативного документа, на основании, которого составляется сметная документация с указанием всех реквизитов документа.</w:t>
      </w:r>
    </w:p>
    <w:p>
      <w:pPr>
        <w:pStyle w:val="ListParagraph"/>
        <w:numPr>
          <w:ilvl w:val="0"/>
          <w:numId w:val="13"/>
        </w:numPr>
        <w:tabs>
          <w:tab w:val="clear" w:pos="708"/>
          <w:tab w:val="left" w:pos="284" w:leader="none"/>
          <w:tab w:val="left" w:pos="993" w:leader="none"/>
          <w:tab w:val="left" w:pos="1134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При использовании в сметах коэффициентов (доплат, процентов и т.д.) в графе «Номер частей, глав, таблиц, процентов…» указывать обоснование из методических указаний, общих положений сборников или других нормативных документов и приложений к ним.</w:t>
      </w:r>
    </w:p>
    <w:p>
      <w:pPr>
        <w:pStyle w:val="ListParagraph"/>
        <w:numPr>
          <w:ilvl w:val="0"/>
          <w:numId w:val="13"/>
        </w:numPr>
        <w:tabs>
          <w:tab w:val="clear" w:pos="708"/>
          <w:tab w:val="left" w:pos="284" w:leader="none"/>
          <w:tab w:val="left" w:pos="993" w:leader="none"/>
          <w:tab w:val="left" w:pos="1134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Проектная документация отдельных этапов строительства, реконструкции и различных видов объектов капитального строительства должна быть выполнена в соответствии с «Положением о составе разделов проектной документации и требованиях к их содержанию», утвержденным Постановлением Правительства РФ от 16.02.2008 №87.</w:t>
      </w:r>
    </w:p>
    <w:p>
      <w:pPr>
        <w:pStyle w:val="ListParagraph"/>
        <w:numPr>
          <w:ilvl w:val="0"/>
          <w:numId w:val="13"/>
        </w:numPr>
        <w:tabs>
          <w:tab w:val="clear" w:pos="708"/>
          <w:tab w:val="left" w:pos="284" w:leader="none"/>
          <w:tab w:val="left" w:pos="993" w:leader="none"/>
          <w:tab w:val="left" w:pos="1134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Пересчет сметной стоимости проектных работ по состоянию на 01.01.2001г, 01.01.1995г. (1991г.) следует производить согласно индексам на указанные (проектные или изыскательские) работы, рекомендованным к применению письмом соответствующего органа исполнительной власти, уполномоченного в области сметного нормирования и ценообразования в сфере градостроительной деятельности.</w:t>
      </w:r>
    </w:p>
    <w:p>
      <w:pPr>
        <w:pStyle w:val="ListParagraph"/>
        <w:numPr>
          <w:ilvl w:val="0"/>
          <w:numId w:val="13"/>
        </w:numPr>
        <w:tabs>
          <w:tab w:val="clear" w:pos="708"/>
          <w:tab w:val="left" w:pos="284" w:leader="none"/>
          <w:tab w:val="left" w:pos="426" w:leader="none"/>
          <w:tab w:val="left" w:pos="1134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При определении стоимости проектных работ от стоимости строительства по сборникам базовых цен на проектные работы для строительства, разработанным в уровне цен 2001 года необходимо руководствоваться пунктом 2.2 раздела </w:t>
      </w:r>
      <w:r>
        <w:rPr>
          <w:rFonts w:ascii="Times New Roman" w:hAnsi="Times New Roman"/>
          <w:lang w:val="en-US"/>
        </w:rPr>
        <w:t>II</w:t>
      </w:r>
      <w:r>
        <w:rPr>
          <w:rFonts w:ascii="Times New Roman" w:hAnsi="Times New Roman"/>
        </w:rPr>
        <w:t xml:space="preserve"> МУ. При определении стоимости проектных работ от стоимости строительства по сборникам базовых цен на проектные работы для строительства (изд. 1994-1999 гг.) стоимость строительства следует приводить к уровню цен по состоянию на 01.01.1991. Для пересчета стоимости строительно-монтажных работ и прочих затрат из уровня цен по состоянию на 01.01.2000 в уровень цен по состоянию 01.01.1991 и обратно использовать соответствующее отношение индексов пересчета из уровня цен 1991-го и 2000 года в уровень цен I квартала 2010 года, опубликованных в последней официальной публикации индексов Министерства регионального развития Российской Федерации к уровню цен 1991 года (письмо от 20 января 2010 г. № 1289-СК/08). При отсутствии разделения стоимости строительства на «Строительно-монтажные работы», «Оборудование» и «Прочие затраты» применяется индекс на строительно-монтажные работы».</w:t>
      </w:r>
    </w:p>
    <w:p>
      <w:pPr>
        <w:pStyle w:val="ListParagraph"/>
        <w:numPr>
          <w:ilvl w:val="0"/>
          <w:numId w:val="13"/>
        </w:numPr>
        <w:tabs>
          <w:tab w:val="clear" w:pos="708"/>
          <w:tab w:val="left" w:pos="284" w:leader="none"/>
          <w:tab w:val="left" w:pos="993" w:leader="none"/>
          <w:tab w:val="left" w:pos="1134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Решение о стоимости работ принимать коллегиально на уровне Департамента закупок и Департамента капитального строительства (в лице Управления организации проектной деятельности) с учетом индивидуального подхода по каждому объекту.</w:t>
      </w:r>
    </w:p>
    <w:p>
      <w:pPr>
        <w:pStyle w:val="ListParagraph"/>
        <w:numPr>
          <w:ilvl w:val="0"/>
          <w:numId w:val="13"/>
        </w:numPr>
        <w:tabs>
          <w:tab w:val="clear" w:pos="708"/>
          <w:tab w:val="left" w:pos="284" w:leader="none"/>
          <w:tab w:val="left" w:pos="993" w:leader="none"/>
          <w:tab w:val="left" w:pos="1134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При определении стоимости проектных работ, затраты проектной организации, расположенной в районах, в которых, в соответствии с действующим законодательством производятся выплаты, обусловленные районным регулированием оплаты труда, в т.ч. выплаты по районным коэффициентам, а также надбавки за непрерывный стаж и других льгот, предусмотренных законодательством в районах Крайнего Севера и приравненных к ним местностям на основании: «Рекомендаций по определению коэффициента к базовым ценам на проектные работы, учитывающего дополнительные затраты организаций на льготные выплаты по заработной плате», одобренных и рекомендованных к применению письмом Госстроя России от 30.06.98 N 9-10-17/40 учитываются путем введения к итогу базовой цены повышающих коэффициентов. Размер примененных коэффициентов, доплат и т.д. указывать с обоснованиями из технической части, вводных указаний сборников или других нормативных документов</w:t>
      </w:r>
    </w:p>
    <w:p>
      <w:pPr>
        <w:pStyle w:val="ListParagraph"/>
        <w:numPr>
          <w:ilvl w:val="0"/>
          <w:numId w:val="13"/>
        </w:numPr>
        <w:tabs>
          <w:tab w:val="clear" w:pos="708"/>
          <w:tab w:val="left" w:pos="284" w:leader="none"/>
          <w:tab w:val="left" w:pos="993" w:leader="none"/>
          <w:tab w:val="left" w:pos="1134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Стоимость разработки раздела «Оценка воздействия на окружающую среду» принимается в размере не более 4% от общей стоимости проектных работ.</w:t>
      </w:r>
    </w:p>
    <w:p>
      <w:pPr>
        <w:pStyle w:val="ConsPlusNormal1"/>
        <w:numPr>
          <w:ilvl w:val="0"/>
          <w:numId w:val="13"/>
        </w:numPr>
        <w:tabs>
          <w:tab w:val="clear" w:pos="708"/>
          <w:tab w:val="left" w:pos="284" w:leader="none"/>
          <w:tab w:val="left" w:pos="1134" w:leader="none"/>
        </w:tabs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В случае отсутствия в сметных нормативах, сведения о которых включены в ФРСН, показателей и нормативов цены проектных работ, стоимость работ по подготовке проектной документации определяется в соответствии с положениями МУ, либо по нормативному акту, пришедшему на смену данному документу.</w:t>
      </w:r>
    </w:p>
    <w:p>
      <w:pPr>
        <w:pStyle w:val="ConsPlusNormal1"/>
        <w:numPr>
          <w:ilvl w:val="0"/>
          <w:numId w:val="13"/>
        </w:numPr>
        <w:tabs>
          <w:tab w:val="clear" w:pos="708"/>
          <w:tab w:val="left" w:pos="284" w:leader="none"/>
          <w:tab w:val="left" w:pos="1134" w:leader="none"/>
        </w:tabs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Стоимость работ, цены на которые отсутствуют в СБЦ и СЦ, внесенных в ФРСН, возможно определять сметным расчетом по себестоимости и сложившемуся уровню рентабельности (форма </w:t>
      </w:r>
      <w:r>
        <w:fldChar w:fldCharType="begin"/>
      </w:r>
      <w:r>
        <w:rPr>
          <w:rStyle w:val="Hyperlink"/>
          <w:sz w:val="22"/>
          <w:szCs w:val="22"/>
          <w:rFonts w:ascii="Times New Roman" w:hAnsi="Times New Roman"/>
        </w:rPr>
        <w:instrText xml:space="preserve"> HYPERLINK "../../../../H:/AppData/Local%20Settings/Temporary%20Internet%20Files/OLK7/%D0%9F%D0%BE%D1%81%D0%BE%D0%B1%D0%B8%D0%B5%20%D0%BF%D0%BE%20%D0%B8%D0%BD%D0%B6%D0%B5%D0%BD%D0%B5%D1%80%D0%BD%D1%8B%D0%BC%20%D0%B8%D0%B7%D1%8B%D1%81%D0%BA%D0%B0%D0%BD%D0%B8%D1%8F%D0%BC_2004.htm" \l "PO0000052%23PO0000052" \n Форма 3П</w:instrText>
      </w:r>
      <w:r>
        <w:rPr>
          <w:rStyle w:val="Hyperlink"/>
          <w:sz w:val="22"/>
          <w:szCs w:val="22"/>
          <w:rFonts w:ascii="Times New Roman" w:hAnsi="Times New Roman"/>
        </w:rPr>
        <w:fldChar w:fldCharType="separate"/>
      </w:r>
      <w:r>
        <w:rPr>
          <w:rStyle w:val="Hyperlink"/>
          <w:rFonts w:ascii="Times New Roman" w:hAnsi="Times New Roman"/>
          <w:sz w:val="22"/>
          <w:szCs w:val="22"/>
        </w:rPr>
        <w:t>3п</w:t>
      </w:r>
      <w:r>
        <w:rPr>
          <w:rStyle w:val="Hyperlink"/>
          <w:sz w:val="22"/>
          <w:szCs w:val="22"/>
          <w:rFonts w:ascii="Times New Roman" w:hAnsi="Times New Roman"/>
        </w:rPr>
        <w:fldChar w:fldCharType="end"/>
      </w:r>
      <w:r>
        <w:rPr>
          <w:rFonts w:cs="Times New Roman" w:ascii="Times New Roman" w:hAnsi="Times New Roman"/>
          <w:sz w:val="22"/>
          <w:szCs w:val="22"/>
        </w:rPr>
        <w:t>) по согласованию с Заказчиком.</w:t>
      </w:r>
    </w:p>
    <w:p>
      <w:pPr>
        <w:pStyle w:val="ConsPlusNormal1"/>
        <w:numPr>
          <w:ilvl w:val="0"/>
          <w:numId w:val="13"/>
        </w:numPr>
        <w:tabs>
          <w:tab w:val="clear" w:pos="708"/>
          <w:tab w:val="left" w:pos="284" w:leader="none"/>
          <w:tab w:val="left" w:pos="1134" w:leader="none"/>
        </w:tabs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Стоимость проведения государственной экспертизы проектных работ определяется согласно Постановлению Правительства РФ от 5 марта 2007 г. № 145 «О порядке организации и проведения государственной экспертизы проектной документации и результатов инженерных изысканий».</w:t>
      </w:r>
    </w:p>
    <w:p>
      <w:pPr>
        <w:pStyle w:val="ConsPlusNormal1"/>
        <w:widowControl/>
        <w:numPr>
          <w:ilvl w:val="0"/>
          <w:numId w:val="13"/>
        </w:numPr>
        <w:tabs>
          <w:tab w:val="clear" w:pos="708"/>
          <w:tab w:val="left" w:pos="284" w:leader="none"/>
          <w:tab w:val="left" w:pos="993" w:leader="none"/>
          <w:tab w:val="left" w:pos="1134" w:leader="none"/>
        </w:tabs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 </w:t>
      </w:r>
      <w:r>
        <w:rPr>
          <w:rFonts w:cs="Times New Roman" w:ascii="Times New Roman" w:hAnsi="Times New Roman"/>
          <w:sz w:val="22"/>
          <w:szCs w:val="22"/>
        </w:rPr>
        <w:t>Сметы на проектные работы предоставляются в форматах: «Excel» и «</w:t>
      </w:r>
      <w:r>
        <w:rPr>
          <w:rFonts w:cs="Times New Roman" w:ascii="Times New Roman" w:hAnsi="Times New Roman"/>
          <w:sz w:val="22"/>
          <w:szCs w:val="22"/>
          <w:lang w:val="en-US"/>
        </w:rPr>
        <w:t>pdf</w:t>
      </w:r>
      <w:r>
        <w:rPr>
          <w:rFonts w:cs="Times New Roman" w:ascii="Times New Roman" w:hAnsi="Times New Roman"/>
          <w:sz w:val="22"/>
          <w:szCs w:val="22"/>
        </w:rPr>
        <w:t>» (с подписями и печатью). Сметная документация в формате «Exce</w:t>
      </w:r>
      <w:r>
        <w:rPr>
          <w:rFonts w:cs="Times New Roman" w:ascii="Times New Roman" w:hAnsi="Times New Roman"/>
          <w:sz w:val="22"/>
          <w:szCs w:val="22"/>
          <w:lang w:val="en-US"/>
        </w:rPr>
        <w:t>l</w:t>
      </w:r>
      <w:r>
        <w:rPr>
          <w:rFonts w:cs="Times New Roman" w:ascii="Times New Roman" w:hAnsi="Times New Roman"/>
          <w:sz w:val="22"/>
          <w:szCs w:val="22"/>
        </w:rPr>
        <w:t>» должна быть представлена в одном файле с внесением ССРСС, ЛСР и других расчетов на отдельные листы (вкладки) документа.</w:t>
      </w:r>
    </w:p>
    <w:p>
      <w:pPr>
        <w:pStyle w:val="ConsPlusNormal1"/>
        <w:numPr>
          <w:ilvl w:val="0"/>
          <w:numId w:val="13"/>
        </w:numPr>
        <w:tabs>
          <w:tab w:val="clear" w:pos="708"/>
          <w:tab w:val="left" w:pos="284" w:leader="none"/>
          <w:tab w:val="left" w:pos="1134" w:leader="none"/>
        </w:tabs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Результаты вычислений (построчные) и итоговые данные в ЛСР (ЛС), приводятся в рублях,</w:t>
      </w:r>
    </w:p>
    <w:p>
      <w:pPr>
        <w:pStyle w:val="ConsPlusNormal1"/>
        <w:numPr>
          <w:ilvl w:val="0"/>
          <w:numId w:val="14"/>
        </w:numPr>
        <w:tabs>
          <w:tab w:val="clear" w:pos="708"/>
          <w:tab w:val="left" w:pos="567" w:leader="none"/>
          <w:tab w:val="left" w:pos="1134" w:leader="none"/>
        </w:tabs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при базисно-индексном методе, с округлением до двух знаков после запятой (до копеек);</w:t>
      </w:r>
    </w:p>
    <w:p>
      <w:pPr>
        <w:pStyle w:val="ConsPlusNormal1"/>
        <w:numPr>
          <w:ilvl w:val="0"/>
          <w:numId w:val="14"/>
        </w:numPr>
        <w:tabs>
          <w:tab w:val="clear" w:pos="708"/>
          <w:tab w:val="left" w:pos="567" w:leader="none"/>
          <w:tab w:val="left" w:pos="1134" w:leader="none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2"/>
          <w:szCs w:val="22"/>
        </w:rPr>
        <w:t xml:space="preserve">при ресурсно-индексном и ресурсным методах, а также сметных расчетах на отдельные виды </w:t>
      </w:r>
      <w:r>
        <w:rPr>
          <w:rFonts w:cs="Times New Roman" w:ascii="Times New Roman" w:hAnsi="Times New Roman"/>
          <w:sz w:val="24"/>
          <w:szCs w:val="24"/>
        </w:rPr>
        <w:t xml:space="preserve">затрат - с округлением до </w:t>
      </w:r>
      <w:r>
        <w:rPr>
          <w:rFonts w:cs="Times New Roman" w:ascii="Times New Roman" w:hAnsi="Times New Roman"/>
          <w:sz w:val="22"/>
          <w:szCs w:val="22"/>
        </w:rPr>
        <w:t>до двух знаков после запятой (до копеек)</w:t>
      </w:r>
      <w:r>
        <w:rPr>
          <w:rFonts w:cs="Times New Roman" w:ascii="Times New Roman" w:hAnsi="Times New Roman"/>
          <w:sz w:val="24"/>
          <w:szCs w:val="24"/>
        </w:rPr>
        <w:t>;</w:t>
      </w:r>
    </w:p>
    <w:p>
      <w:pPr>
        <w:pStyle w:val="ConsPlusNormal1"/>
        <w:numPr>
          <w:ilvl w:val="0"/>
          <w:numId w:val="14"/>
        </w:numPr>
        <w:tabs>
          <w:tab w:val="clear" w:pos="708"/>
          <w:tab w:val="left" w:pos="567" w:leader="none"/>
          <w:tab w:val="left" w:pos="1134" w:leader="none"/>
        </w:tabs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в сводной смете - в рублях с округлением до целых единиц. </w:t>
      </w:r>
    </w:p>
    <w:p>
      <w:pPr>
        <w:pStyle w:val="ConsPlusNormal1"/>
        <w:numPr>
          <w:ilvl w:val="0"/>
          <w:numId w:val="13"/>
        </w:numPr>
        <w:tabs>
          <w:tab w:val="clear" w:pos="708"/>
          <w:tab w:val="left" w:pos="284" w:leader="none"/>
          <w:tab w:val="left" w:pos="1134" w:leader="none"/>
        </w:tabs>
        <w:ind w:left="0" w:firstLine="709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Командировочные расходы, учтенные в смете, подтверждаются отдельным расчетом.</w:t>
      </w:r>
      <w:r>
        <w:rPr>
          <w:rFonts w:cs="Times New Roman" w:ascii="Times New Roman" w:hAnsi="Times New Roman"/>
          <w:color w:val="000000"/>
          <w:sz w:val="22"/>
          <w:szCs w:val="22"/>
        </w:rPr>
        <w:t xml:space="preserve"> Лимиты командировочных расходов при производстве проектных работ:</w:t>
      </w:r>
    </w:p>
    <w:p>
      <w:pPr>
        <w:pStyle w:val="ListParagraph"/>
        <w:numPr>
          <w:ilvl w:val="0"/>
          <w:numId w:val="3"/>
        </w:numPr>
        <w:tabs>
          <w:tab w:val="clear" w:pos="708"/>
          <w:tab w:val="left" w:pos="993" w:leader="none"/>
          <w:tab w:val="left" w:pos="1080" w:leader="none"/>
          <w:tab w:val="left" w:pos="1134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суточные - 700 руб./сутки;</w:t>
      </w:r>
    </w:p>
    <w:p>
      <w:pPr>
        <w:pStyle w:val="ListParagraph"/>
        <w:numPr>
          <w:ilvl w:val="0"/>
          <w:numId w:val="3"/>
        </w:numPr>
        <w:tabs>
          <w:tab w:val="clear" w:pos="708"/>
          <w:tab w:val="left" w:pos="993" w:leader="none"/>
          <w:tab w:val="left" w:pos="1080" w:leader="none"/>
          <w:tab w:val="left" w:pos="1134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проживание – до 4000 руб./сутки;</w:t>
      </w:r>
    </w:p>
    <w:p>
      <w:pPr>
        <w:pStyle w:val="ListParagraph"/>
        <w:numPr>
          <w:ilvl w:val="0"/>
          <w:numId w:val="3"/>
        </w:numPr>
        <w:tabs>
          <w:tab w:val="clear" w:pos="708"/>
          <w:tab w:val="left" w:pos="993" w:leader="none"/>
          <w:tab w:val="left" w:pos="1080" w:leader="none"/>
          <w:tab w:val="left" w:pos="1134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проезд: поезд (купе) или самолет (класс–эконом с багажом до 20 (двадцати) кг, ручная кладь до 10 (десяти) кг).</w:t>
      </w:r>
    </w:p>
    <w:p>
      <w:pPr>
        <w:pStyle w:val="ConsPlusNormal1"/>
        <w:numPr>
          <w:ilvl w:val="0"/>
          <w:numId w:val="13"/>
        </w:numPr>
        <w:tabs>
          <w:tab w:val="clear" w:pos="708"/>
          <w:tab w:val="left" w:pos="284" w:leader="none"/>
          <w:tab w:val="left" w:pos="1134" w:leader="none"/>
        </w:tabs>
        <w:ind w:left="0" w:firstLine="709"/>
        <w:jc w:val="both"/>
        <w:rPr>
          <w:rFonts w:ascii="Times New Roman" w:hAnsi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При одновременной разработке проектной и полной или частичной разработке рабочей </w:t>
      </w:r>
      <w:r>
        <w:rPr>
          <w:rFonts w:ascii="Times New Roman" w:hAnsi="Times New Roman"/>
          <w:sz w:val="22"/>
          <w:szCs w:val="22"/>
        </w:rPr>
        <w:t>документации, суммарный процент базовой цены определяется по согласованию между Заказчиком и Подрядчиком в зависимости от архитектурных, функционально-технологических, конструктивных и инженерно-технических решений, содержащихся в проектной документации и степени их детализации.</w:t>
      </w:r>
    </w:p>
    <w:p>
      <w:pPr>
        <w:sectPr>
          <w:footerReference w:type="default" r:id="rId5"/>
          <w:footerReference w:type="first" r:id="rId6"/>
          <w:type w:val="nextPage"/>
          <w:pgSz w:w="11906" w:h="16838"/>
          <w:pgMar w:left="1304" w:right="924" w:gutter="0" w:header="0" w:top="851" w:footer="709" w:bottom="766"/>
          <w:pgNumType w:fmt="decimal"/>
          <w:formProt w:val="false"/>
          <w:textDirection w:val="lrTb"/>
          <w:docGrid w:type="default" w:linePitch="360" w:charSpace="4096"/>
        </w:sectPr>
        <w:pStyle w:val="ConsPlusNormal1"/>
        <w:numPr>
          <w:ilvl w:val="0"/>
          <w:numId w:val="13"/>
        </w:numPr>
        <w:tabs>
          <w:tab w:val="clear" w:pos="708"/>
          <w:tab w:val="left" w:pos="284" w:leader="none"/>
          <w:tab w:val="left" w:pos="993" w:leader="none"/>
          <w:tab w:val="left" w:pos="1134" w:leader="none"/>
        </w:tabs>
        <w:ind w:left="0" w:firstLine="709"/>
        <w:jc w:val="both"/>
        <w:rPr>
          <w:rFonts w:ascii="Times New Roman" w:hAnsi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Выполнение обследований и обмерных работ на объектах, подлежащих реконструкции, </w:t>
      </w:r>
      <w:r>
        <w:rPr>
          <w:rFonts w:ascii="Times New Roman" w:hAnsi="Times New Roman"/>
          <w:sz w:val="22"/>
          <w:szCs w:val="22"/>
        </w:rPr>
        <w:t xml:space="preserve">расширению и техническому перевооружению рассчитывается по соответствующим Справочникам и относится в </w:t>
      </w:r>
      <w:r>
        <w:rPr>
          <w:rFonts w:ascii="Times New Roman" w:hAnsi="Times New Roman"/>
          <w:color w:val="000000"/>
          <w:sz w:val="22"/>
          <w:szCs w:val="22"/>
        </w:rPr>
        <w:t>главу 1 ССРСС.</w:t>
      </w:r>
      <w:r>
        <w:rPr>
          <w:rFonts w:ascii="Times New Roman" w:hAnsi="Times New Roman"/>
          <w:sz w:val="22"/>
          <w:szCs w:val="22"/>
        </w:rPr>
        <w:t xml:space="preserve"> Стоимость данных работ не включается в расчет стоимости проведения государственной экспертизы. </w:t>
      </w:r>
    </w:p>
    <w:p>
      <w:pPr>
        <w:pStyle w:val="Normal"/>
        <w:spacing w:lineRule="auto" w:line="240" w:before="0" w:after="0"/>
        <w:ind w:left="5670" w:hanging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 1</w:t>
      </w:r>
    </w:p>
    <w:p>
      <w:pPr>
        <w:pStyle w:val="Normal"/>
        <w:spacing w:lineRule="auto" w:line="240" w:before="0" w:after="0"/>
        <w:ind w:left="5670" w:hanging="0"/>
        <w:rPr>
          <w:rFonts w:ascii="Times New Roman" w:hAnsi="Times New Roman"/>
        </w:rPr>
      </w:pPr>
      <w:r>
        <w:rPr>
          <w:rFonts w:ascii="Times New Roman" w:hAnsi="Times New Roman"/>
        </w:rPr>
        <w:t>к Требованиям к оформлению и составлению смет и расчетов на выполнение проектных работ</w:t>
      </w:r>
    </w:p>
    <w:p>
      <w:pPr>
        <w:pStyle w:val="Normal"/>
        <w:spacing w:lineRule="auto" w:line="240" w:before="0" w:after="0"/>
        <w:ind w:left="5670" w:hanging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ПОЯСНИТЕЛЬНАЯ ЗАПИСКА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по заполнению формы №3п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>при составлении смет на проектные работы.</w:t>
      </w:r>
    </w:p>
    <w:p>
      <w:pPr>
        <w:pStyle w:val="Normal"/>
        <w:tabs>
          <w:tab w:val="clear" w:pos="708"/>
          <w:tab w:val="left" w:pos="1134" w:leader="none"/>
          <w:tab w:val="left" w:pos="5812" w:leader="none"/>
        </w:tabs>
        <w:spacing w:lineRule="auto" w:line="240" w:before="0" w:after="0"/>
        <w:ind w:firstLine="567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ListParagraph"/>
        <w:numPr>
          <w:ilvl w:val="0"/>
          <w:numId w:val="15"/>
        </w:numPr>
        <w:tabs>
          <w:tab w:val="clear" w:pos="708"/>
          <w:tab w:val="left" w:pos="1134" w:leader="none"/>
          <w:tab w:val="left" w:pos="5812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При составлении калькуляции затрат (форма №3п), разработанным организацией, выполняющей проектные работы, </w:t>
      </w:r>
      <w:r>
        <w:rPr>
          <w:rFonts w:ascii="Times New Roman" w:hAnsi="Times New Roman"/>
          <w:color w:val="000000"/>
        </w:rPr>
        <w:t>Заказчику предоставляется обоснование расчета. Сметные расчеты составляются в ценах текущего периода</w:t>
      </w:r>
      <w:r>
        <w:rPr>
          <w:rFonts w:ascii="Times New Roman" w:hAnsi="Times New Roman"/>
        </w:rPr>
        <w:t>.</w:t>
      </w:r>
    </w:p>
    <w:p>
      <w:pPr>
        <w:pStyle w:val="ListParagraph"/>
        <w:numPr>
          <w:ilvl w:val="0"/>
          <w:numId w:val="15"/>
        </w:numPr>
        <w:tabs>
          <w:tab w:val="clear" w:pos="708"/>
          <w:tab w:val="left" w:pos="1134" w:leader="none"/>
          <w:tab w:val="left" w:pos="5812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Калькуляцией затрат (форма №3п) рекомендуется определять стоимость работ, цены на которые отсутствуют в МНЗ и СБЦ, внесенных в ФРСН </w:t>
      </w:r>
      <w:r>
        <w:rPr>
          <w:rFonts w:ascii="Times New Roman" w:hAnsi="Times New Roman"/>
        </w:rPr>
        <w:t>и других нормативных сборниках, внесенных в ФРСН.</w:t>
      </w:r>
    </w:p>
    <w:p>
      <w:pPr>
        <w:pStyle w:val="ListParagraph"/>
        <w:numPr>
          <w:ilvl w:val="0"/>
          <w:numId w:val="15"/>
        </w:numPr>
        <w:tabs>
          <w:tab w:val="clear" w:pos="708"/>
          <w:tab w:val="left" w:pos="1134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Стоимость работ и расходов в соответствии с калькуляцией затрат определяется согласно положениям Методики №707 с учетом следующего:</w:t>
      </w:r>
    </w:p>
    <w:p>
      <w:pPr>
        <w:pStyle w:val="ConsPlusNormal1"/>
        <w:numPr>
          <w:ilvl w:val="1"/>
          <w:numId w:val="16"/>
        </w:numPr>
        <w:tabs>
          <w:tab w:val="clear" w:pos="708"/>
          <w:tab w:val="left" w:pos="1134" w:leader="none"/>
        </w:tabs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Стоимость проектных работ (</w:t>
      </w:r>
      <w:r>
        <w:rPr/>
      </w:r>
      <m:oMath xmlns:m="http://schemas.openxmlformats.org/officeDocument/2006/math">
        <m:r>
          <m:rPr>
            <m:lit/>
            <m:nor/>
          </m:rPr>
          <w:rPr>
            <w:rFonts w:ascii="Cambria Math" w:hAnsi="Cambria Math"/>
          </w:rPr>
          <m:t xml:space="preserve">Спр</m:t>
        </m:r>
      </m:oMath>
      <w:r>
        <w:rPr>
          <w:rFonts w:cs="Times New Roman" w:ascii="Times New Roman" w:hAnsi="Times New Roman"/>
          <w:sz w:val="22"/>
          <w:szCs w:val="22"/>
        </w:rPr>
        <w:t>) в соответствии с калькуляцией затрат определяется по формуле:</w:t>
      </w:r>
    </w:p>
    <w:p>
      <w:pPr>
        <w:pStyle w:val="ConsPlusNormal1"/>
        <w:tabs>
          <w:tab w:val="clear" w:pos="708"/>
          <w:tab w:val="left" w:pos="0" w:leader="none"/>
        </w:tabs>
        <w:ind w:firstLine="709"/>
        <w:jc w:val="center"/>
        <w:rPr>
          <w:rFonts w:ascii="Times New Roman" w:hAnsi="Times New Roman" w:cs="Times New Roman"/>
          <w:i/>
          <w:i/>
          <w:sz w:val="22"/>
          <w:szCs w:val="22"/>
        </w:rPr>
      </w:pPr>
      <w:r>
        <w:rPr/>
      </w:r>
      <m:oMathPara xmlns:m="http://schemas.openxmlformats.org/officeDocument/2006/math">
        <m:oMathParaPr>
          <m:jc m:val="center"/>
        </m:oMathParaPr>
        <m:oMath>
          <m:sSub>
            <m:e>
              <m:r>
                <w:rPr>
                  <w:rFonts w:ascii="Cambria Math" w:hAnsi="Cambria Math"/>
                </w:rPr>
                <m:t xml:space="preserve">С</m:t>
              </m:r>
            </m:e>
            <m:sub>
              <m:r>
                <w:rPr>
                  <w:rFonts w:ascii="Cambria Math" w:hAnsi="Cambria Math"/>
                </w:rPr>
                <m:t xml:space="preserve">пр</m:t>
              </m:r>
            </m:sub>
          </m:sSub>
          <m:r>
            <w:rPr>
              <w:rFonts w:ascii="Cambria Math" w:hAnsi="Cambria Math"/>
            </w:rPr>
            <m:t xml:space="preserve">=</m:t>
          </m:r>
          <m:sSub>
            <m:e>
              <m:r>
                <w:rPr>
                  <w:rFonts w:ascii="Cambria Math" w:hAnsi="Cambria Math"/>
                </w:rPr>
                <m:t xml:space="preserve">В</m:t>
              </m:r>
            </m:e>
            <m:sub>
              <m:r>
                <w:rPr>
                  <w:rFonts w:ascii="Cambria Math" w:hAnsi="Cambria Math"/>
                </w:rPr>
                <m:t xml:space="preserve">ср</m:t>
              </m:r>
            </m:sub>
          </m:sSub>
          <m:r>
            <w:rPr>
              <w:rFonts w:ascii="Cambria Math" w:hAnsi="Cambria Math"/>
            </w:rPr>
            <m:t xml:space="preserve">×</m:t>
          </m:r>
          <m:sSub>
            <m:e>
              <m:r>
                <w:rPr>
                  <w:rFonts w:ascii="Cambria Math" w:hAnsi="Cambria Math"/>
                </w:rPr>
                <m:t xml:space="preserve">Т</m:t>
              </m:r>
            </m:e>
            <m:sub>
              <m:r>
                <w:rPr>
                  <w:rFonts w:ascii="Cambria Math" w:hAnsi="Cambria Math"/>
                </w:rPr>
                <m:t xml:space="preserve">п</m:t>
              </m:r>
            </m:sub>
          </m:sSub>
          <m:r>
            <w:rPr>
              <w:rFonts w:ascii="Cambria Math" w:hAnsi="Cambria Math"/>
            </w:rPr>
            <m:t xml:space="preserve">×</m:t>
          </m:r>
          <m:sSub>
            <m:e>
              <m:r>
                <w:rPr>
                  <w:rFonts w:ascii="Cambria Math" w:hAnsi="Cambria Math"/>
                </w:rPr>
                <m:t xml:space="preserve">Ч</m:t>
              </m:r>
            </m:e>
            <m:sub>
              <m:r>
                <w:rPr>
                  <w:rFonts w:ascii="Cambria Math" w:hAnsi="Cambria Math"/>
                </w:rPr>
                <m:t xml:space="preserve">общ</m:t>
              </m:r>
            </m:sub>
          </m:sSub>
          <m:r>
            <w:rPr>
              <w:rFonts w:ascii="Cambria Math" w:hAnsi="Cambria Math"/>
            </w:rPr>
            <m:t xml:space="preserve">×</m:t>
          </m:r>
          <m:sSub>
            <m:e>
              <m:r>
                <w:rPr>
                  <w:rFonts w:ascii="Cambria Math" w:hAnsi="Cambria Math"/>
                </w:rPr>
                <m:t xml:space="preserve">К</m:t>
              </m:r>
            </m:e>
            <m:sub>
              <m:r>
                <w:rPr>
                  <w:rFonts w:ascii="Cambria Math" w:hAnsi="Cambria Math"/>
                </w:rPr>
                <m:t xml:space="preserve">кв</m:t>
              </m:r>
              <m:r>
                <w:rPr>
                  <w:rFonts w:ascii="Cambria Math" w:hAnsi="Cambria Math"/>
                </w:rPr>
                <m:t xml:space="preserve">−</m:t>
              </m:r>
              <m:r>
                <w:rPr>
                  <w:rFonts w:ascii="Cambria Math" w:hAnsi="Cambria Math"/>
                </w:rPr>
                <m:t xml:space="preserve">уч</m:t>
              </m:r>
            </m:sub>
          </m:sSub>
        </m:oMath>
      </m:oMathPara>
    </w:p>
    <w:p>
      <w:pPr>
        <w:pStyle w:val="ConsPlusNormal1"/>
        <w:tabs>
          <w:tab w:val="clear" w:pos="708"/>
          <w:tab w:val="left" w:pos="1134" w:leader="none"/>
        </w:tabs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где:</w:t>
      </w:r>
    </w:p>
    <w:p>
      <w:pPr>
        <w:pStyle w:val="ConsPlusNormal1"/>
        <w:tabs>
          <w:tab w:val="clear" w:pos="708"/>
          <w:tab w:val="left" w:pos="1134" w:leader="none"/>
        </w:tabs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/>
      </w:r>
      <m:oMath xmlns:m="http://schemas.openxmlformats.org/officeDocument/2006/math">
        <m:r>
          <m:rPr>
            <m:lit/>
            <m:nor/>
          </m:rPr>
          <w:rPr>
            <w:rFonts w:ascii="Cambria Math" w:hAnsi="Cambria Math"/>
          </w:rPr>
          <m:t xml:space="preserve">Спр</m:t>
        </m:r>
      </m:oMath>
      <w:r>
        <w:rPr>
          <w:rFonts w:cs="Times New Roman" w:ascii="Times New Roman" w:hAnsi="Times New Roman"/>
          <w:sz w:val="22"/>
          <w:szCs w:val="22"/>
          <w:vertAlign w:val="subscript"/>
        </w:rPr>
        <w:t xml:space="preserve"> </w:t>
      </w:r>
      <w:r>
        <w:rPr>
          <w:rFonts w:cs="Times New Roman" w:ascii="Times New Roman" w:hAnsi="Times New Roman"/>
          <w:sz w:val="22"/>
          <w:szCs w:val="22"/>
        </w:rPr>
        <w:t xml:space="preserve"> </w:t>
      </w:r>
      <w:r>
        <w:rPr>
          <w:rFonts w:cs="Times New Roman" w:ascii="Times New Roman" w:hAnsi="Times New Roman"/>
          <w:sz w:val="22"/>
          <w:szCs w:val="22"/>
        </w:rPr>
        <w:t>- стоимость работ, определенная в соответствии с калькуляцией затрат, рублей;</w:t>
      </w:r>
    </w:p>
    <w:p>
      <w:pPr>
        <w:pStyle w:val="ConsPlusNormal1"/>
        <w:tabs>
          <w:tab w:val="clear" w:pos="708"/>
          <w:tab w:val="left" w:pos="1134" w:leader="none"/>
        </w:tabs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/>
      </w:r>
      <m:oMath xmlns:m="http://schemas.openxmlformats.org/officeDocument/2006/math">
        <m:r>
          <m:rPr>
            <m:lit/>
            <m:nor/>
          </m:rPr>
          <w:rPr>
            <w:rFonts w:ascii="Cambria Math" w:hAnsi="Cambria Math"/>
          </w:rPr>
          <m:t xml:space="preserve">Вср</m:t>
        </m:r>
      </m:oMath>
      <w:r>
        <w:rPr>
          <w:rFonts w:cs="Times New Roman" w:ascii="Times New Roman" w:hAnsi="Times New Roman"/>
          <w:sz w:val="22"/>
          <w:szCs w:val="22"/>
        </w:rPr>
        <w:t xml:space="preserve"> </w:t>
      </w:r>
      <w:r>
        <w:rPr>
          <w:rFonts w:cs="Times New Roman" w:ascii="Times New Roman" w:hAnsi="Times New Roman"/>
          <w:sz w:val="22"/>
          <w:szCs w:val="22"/>
        </w:rPr>
        <w:t>- среднедневная выработка одного непосредственного исполнителя, рублей;</w:t>
      </w:r>
    </w:p>
    <w:p>
      <w:pPr>
        <w:pStyle w:val="ConsPlusNormal1"/>
        <w:tabs>
          <w:tab w:val="clear" w:pos="708"/>
          <w:tab w:val="left" w:pos="1134" w:leader="none"/>
        </w:tabs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/>
      </w:r>
      <m:oMath xmlns:m="http://schemas.openxmlformats.org/officeDocument/2006/math">
        <m:r>
          <m:rPr>
            <m:lit/>
            <m:nor/>
          </m:rPr>
          <w:rPr>
            <w:rFonts w:ascii="Cambria Math" w:hAnsi="Cambria Math"/>
          </w:rPr>
          <m:t xml:space="preserve">Тп</m:t>
        </m:r>
      </m:oMath>
      <w:r>
        <w:rPr>
          <w:rFonts w:cs="Times New Roman" w:ascii="Times New Roman" w:hAnsi="Times New Roman"/>
          <w:sz w:val="22"/>
          <w:szCs w:val="22"/>
        </w:rPr>
        <w:t xml:space="preserve"> </w:t>
      </w:r>
      <w:r>
        <w:rPr>
          <w:rFonts w:cs="Times New Roman" w:ascii="Times New Roman" w:hAnsi="Times New Roman"/>
          <w:sz w:val="22"/>
          <w:szCs w:val="22"/>
        </w:rPr>
        <w:t>- плановая продолжительность выполнения работ, предусмотренных калькуляцией затрат, дни;</w:t>
      </w:r>
    </w:p>
    <w:p>
      <w:pPr>
        <w:pStyle w:val="ConsPlusNormal1"/>
        <w:tabs>
          <w:tab w:val="clear" w:pos="708"/>
          <w:tab w:val="left" w:pos="1134" w:leader="none"/>
        </w:tabs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/>
      </w:r>
      <m:oMath xmlns:m="http://schemas.openxmlformats.org/officeDocument/2006/math">
        <m:r>
          <m:rPr>
            <m:lit/>
            <m:nor/>
          </m:rPr>
          <w:rPr>
            <w:rFonts w:ascii="Cambria Math" w:hAnsi="Cambria Math"/>
          </w:rPr>
          <m:t xml:space="preserve">Чобщ</m:t>
        </m:r>
      </m:oMath>
      <w:r>
        <w:rPr>
          <w:rFonts w:cs="Times New Roman" w:ascii="Times New Roman" w:hAnsi="Times New Roman"/>
          <w:sz w:val="22"/>
          <w:szCs w:val="22"/>
        </w:rPr>
        <w:t xml:space="preserve"> </w:t>
      </w:r>
      <w:r>
        <w:rPr>
          <w:rFonts w:cs="Times New Roman" w:ascii="Times New Roman" w:hAnsi="Times New Roman"/>
          <w:sz w:val="22"/>
          <w:szCs w:val="22"/>
        </w:rPr>
        <w:t>- общая численность непосредственных исполнителей, занятых в выполнении работ, предусмотренных калькуляцией затрат, чел.;</w:t>
      </w:r>
    </w:p>
    <w:p>
      <w:pPr>
        <w:pStyle w:val="ConsPlusNormal1"/>
        <w:tabs>
          <w:tab w:val="clear" w:pos="708"/>
          <w:tab w:val="left" w:pos="1134" w:leader="none"/>
        </w:tabs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/>
      </w:r>
      <m:oMath xmlns:m="http://schemas.openxmlformats.org/officeDocument/2006/math">
        <m:r>
          <m:rPr>
            <m:lit/>
            <m:nor/>
          </m:rPr>
          <w:rPr>
            <w:rFonts w:ascii="Cambria Math" w:hAnsi="Cambria Math"/>
          </w:rPr>
          <m:t xml:space="preserve">Ккв-уч</m:t>
        </m:r>
      </m:oMath>
      <w:r>
        <w:rPr>
          <w:rFonts w:cs="Times New Roman" w:ascii="Times New Roman" w:hAnsi="Times New Roman"/>
          <w:sz w:val="22"/>
          <w:szCs w:val="22"/>
        </w:rPr>
        <w:t xml:space="preserve"> </w:t>
      </w:r>
      <w:r>
        <w:rPr>
          <w:rFonts w:cs="Times New Roman" w:ascii="Times New Roman" w:hAnsi="Times New Roman"/>
          <w:sz w:val="22"/>
          <w:szCs w:val="22"/>
        </w:rPr>
        <w:t>- корректирующий коэффициент, учитывающий степень участия исполнителей различной квалификации в выполнении работ, предусмотренных калькуляцией затрат (далее - коэффициент квалификации-участия);</w:t>
      </w:r>
    </w:p>
    <w:p>
      <w:pPr>
        <w:pStyle w:val="ConsPlusNormal1"/>
        <w:numPr>
          <w:ilvl w:val="1"/>
          <w:numId w:val="16"/>
        </w:numPr>
        <w:tabs>
          <w:tab w:val="clear" w:pos="708"/>
          <w:tab w:val="left" w:pos="1134" w:leader="none"/>
        </w:tabs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среднедневная выработка (</w:t>
      </w:r>
      <w:r>
        <w:rPr/>
      </w:r>
      <m:oMath xmlns:m="http://schemas.openxmlformats.org/officeDocument/2006/math">
        <m:r>
          <w:rPr>
            <w:rFonts w:ascii="Cambria Math" w:hAnsi="Cambria Math"/>
          </w:rPr>
          <m:t xml:space="preserve">В</m:t>
        </m:r>
        <m:r>
          <m:rPr>
            <m:lit/>
            <m:nor/>
          </m:rPr>
          <w:rPr>
            <w:rFonts w:ascii="Cambria Math" w:hAnsi="Cambria Math"/>
          </w:rPr>
          <m:t xml:space="preserve">ср</m:t>
        </m:r>
      </m:oMath>
      <w:r>
        <w:rPr>
          <w:rFonts w:cs="Times New Roman" w:ascii="Times New Roman" w:hAnsi="Times New Roman"/>
          <w:sz w:val="22"/>
          <w:szCs w:val="22"/>
        </w:rPr>
        <w:t>) определяется по формуле:</w:t>
      </w:r>
    </w:p>
    <w:p>
      <w:pPr>
        <w:pStyle w:val="ConsPlusNormal1"/>
        <w:tabs>
          <w:tab w:val="clear" w:pos="708"/>
          <w:tab w:val="left" w:pos="1134" w:leader="none"/>
        </w:tabs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ConsPlusNormal1"/>
        <w:tabs>
          <w:tab w:val="clear" w:pos="708"/>
          <w:tab w:val="left" w:pos="0" w:leader="none"/>
        </w:tabs>
        <w:ind w:firstLine="709"/>
        <w:jc w:val="center"/>
        <w:rPr>
          <w:rFonts w:ascii="Times New Roman" w:hAnsi="Times New Roman" w:cs="Times New Roman"/>
          <w:sz w:val="22"/>
          <w:szCs w:val="22"/>
        </w:rPr>
      </w:pPr>
      <w:r>
        <w:rPr/>
      </w:r>
      <m:oMathPara xmlns:m="http://schemas.openxmlformats.org/officeDocument/2006/math">
        <m:oMathParaPr>
          <m:jc m:val="center"/>
        </m:oMathParaPr>
        <m:oMath>
          <m:sSub>
            <m:e>
              <m:r>
                <w:rPr>
                  <w:rFonts w:ascii="Cambria Math" w:hAnsi="Cambria Math"/>
                </w:rPr>
                <m:t xml:space="preserve">В</m:t>
              </m:r>
            </m:e>
            <m:sub>
              <m:r>
                <w:rPr>
                  <w:rFonts w:ascii="Cambria Math" w:hAnsi="Cambria Math"/>
                </w:rPr>
                <m:t xml:space="preserve">ср</m:t>
              </m:r>
            </m:sub>
          </m:sSub>
          <m:r>
            <w:rPr>
              <w:rFonts w:ascii="Cambria Math" w:hAnsi="Cambria Math"/>
            </w:rPr>
            <m:t xml:space="preserve">=</m:t>
          </m:r>
          <m:f>
            <m:num>
              <m:sSub>
                <m:e>
                  <m:r>
                    <w:rPr>
                      <w:rFonts w:ascii="Cambria Math" w:hAnsi="Cambria Math"/>
                    </w:rPr>
                    <m:t xml:space="preserve">ЗП</m:t>
                  </m:r>
                </m:e>
                <m:sub>
                  <m:r>
                    <w:rPr>
                      <w:rFonts w:ascii="Cambria Math" w:hAnsi="Cambria Math"/>
                    </w:rPr>
                    <m:t xml:space="preserve">ср</m:t>
                  </m:r>
                </m:sub>
              </m:sSub>
              <m:r>
                <w:rPr>
                  <w:rFonts w:ascii="Cambria Math" w:hAnsi="Cambria Math"/>
                </w:rPr>
                <m:t xml:space="preserve">×</m:t>
              </m:r>
              <m:d>
                <m:dPr>
                  <m:begChr m:val="("/>
                  <m:endChr m:val=")"/>
                </m:dPr>
                <m:e>
                  <m:r>
                    <w:rPr>
                      <w:rFonts w:ascii="Cambria Math" w:hAnsi="Cambria Math"/>
                    </w:rPr>
                    <m:t xml:space="preserve">1</m:t>
                  </m:r>
                  <m:r>
                    <w:rPr>
                      <w:rFonts w:ascii="Cambria Math" w:hAnsi="Cambria Math"/>
                    </w:rPr>
                    <m:t xml:space="preserve">+</m:t>
                  </m:r>
                  <m:r>
                    <w:rPr>
                      <w:rFonts w:ascii="Cambria Math" w:hAnsi="Cambria Math"/>
                    </w:rPr>
                    <m:t xml:space="preserve">Р</m:t>
                  </m:r>
                </m:e>
              </m:d>
            </m:num>
            <m:den>
              <m:sSub>
                <m:e>
                  <m:r>
                    <w:rPr>
                      <w:rFonts w:ascii="Cambria Math" w:hAnsi="Cambria Math"/>
                    </w:rPr>
                    <m:t xml:space="preserve">К</m:t>
                  </m:r>
                </m:e>
                <m:sub>
                  <m:r>
                    <w:rPr>
                      <w:rFonts w:ascii="Cambria Math" w:hAnsi="Cambria Math"/>
                    </w:rPr>
                    <m:t xml:space="preserve">з</m:t>
                  </m:r>
                </m:sub>
              </m:sSub>
            </m:den>
          </m:f>
        </m:oMath>
      </m:oMathPara>
    </w:p>
    <w:p>
      <w:pPr>
        <w:pStyle w:val="ConsPlusNormal1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где:</w:t>
      </w:r>
    </w:p>
    <w:p>
      <w:pPr>
        <w:pStyle w:val="ConsPlusNormal1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/>
      </w:r>
      <m:oMath xmlns:m="http://schemas.openxmlformats.org/officeDocument/2006/math">
        <m:r>
          <w:rPr>
            <w:rFonts w:ascii="Cambria Math" w:hAnsi="Cambria Math"/>
          </w:rPr>
          <m:t xml:space="preserve">Р</m:t>
        </m:r>
      </m:oMath>
      <w:r>
        <w:rPr>
          <w:rFonts w:cs="Times New Roman" w:ascii="Times New Roman" w:hAnsi="Times New Roman"/>
          <w:sz w:val="22"/>
          <w:szCs w:val="22"/>
        </w:rPr>
        <w:t xml:space="preserve"> </w:t>
      </w:r>
      <w:r>
        <w:rPr>
          <w:rFonts w:cs="Times New Roman" w:ascii="Times New Roman" w:hAnsi="Times New Roman"/>
          <w:sz w:val="22"/>
          <w:szCs w:val="22"/>
        </w:rPr>
        <w:t xml:space="preserve">- коэффициент уровня рентабельности (сметной прибыли), принимается Р = 0,1 (1%) согласно </w:t>
      </w:r>
      <w:hyperlink w:anchor="P1643">
        <w:r>
          <w:rPr>
            <w:rStyle w:val="Hyperlink"/>
            <w:rFonts w:ascii="Times New Roman" w:hAnsi="Times New Roman"/>
            <w:sz w:val="22"/>
            <w:szCs w:val="22"/>
          </w:rPr>
          <w:t>таблице 1.2</w:t>
        </w:r>
      </w:hyperlink>
      <w:r>
        <w:rPr>
          <w:rFonts w:cs="Times New Roman" w:ascii="Times New Roman" w:hAnsi="Times New Roman"/>
          <w:sz w:val="22"/>
          <w:szCs w:val="22"/>
        </w:rPr>
        <w:t>, приведенной в приложении N 2 к Методике №707;</w:t>
      </w:r>
    </w:p>
    <w:p>
      <w:pPr>
        <w:pStyle w:val="ConsPlusNormal1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/>
      </w:r>
      <m:oMath xmlns:m="http://schemas.openxmlformats.org/officeDocument/2006/math">
        <m:r>
          <w:rPr>
            <w:rFonts w:ascii="Cambria Math" w:hAnsi="Cambria Math"/>
          </w:rPr>
          <m:t xml:space="preserve">ЗП</m:t>
        </m:r>
        <m:r>
          <m:rPr>
            <m:lit/>
            <m:nor/>
          </m:rPr>
          <w:rPr>
            <w:rFonts w:ascii="Cambria Math" w:hAnsi="Cambria Math"/>
          </w:rPr>
          <m:t xml:space="preserve">ср</m:t>
        </m:r>
      </m:oMath>
      <w:r>
        <w:rPr>
          <w:rFonts w:cs="Times New Roman" w:ascii="Times New Roman" w:hAnsi="Times New Roman"/>
          <w:sz w:val="22"/>
          <w:szCs w:val="22"/>
        </w:rPr>
        <w:t xml:space="preserve"> </w:t>
      </w:r>
      <w:r>
        <w:rPr>
          <w:rFonts w:cs="Times New Roman" w:ascii="Times New Roman" w:hAnsi="Times New Roman"/>
          <w:sz w:val="22"/>
          <w:szCs w:val="22"/>
        </w:rPr>
        <w:t>- среднедневная заработная плата, тыс. руб. Принимается по данным Росстата о среднемесячной номинальной начисленной заработной плате работающих в экономике, по видам экономической деятельности в Российской Федерации для научных исследований и разработок (</w:t>
      </w:r>
      <w:hyperlink r:id="rId7">
        <w:r>
          <w:rPr>
            <w:rStyle w:val="Hyperlink"/>
            <w:rFonts w:ascii="Times New Roman" w:hAnsi="Times New Roman"/>
            <w:sz w:val="22"/>
            <w:szCs w:val="22"/>
          </w:rPr>
          <w:t>код 72.</w:t>
        </w:r>
      </w:hyperlink>
      <w:r>
        <w:rPr>
          <w:rFonts w:cs="Times New Roman" w:ascii="Times New Roman" w:hAnsi="Times New Roman"/>
          <w:sz w:val="22"/>
          <w:szCs w:val="22"/>
        </w:rPr>
        <w:t xml:space="preserve"> согласно ОК 029-2014 (КДЕС ред. 2) "Общероссийский классификатор видов экономической деятельности" (далее - Общероссийский классификатор) за год, предшествующий году определения сметной стоимости работ (среднее значение за период январь - декабрь), исходя из усредненного на основании производственного календаря количества рабочих дней в месяце для года, предшествующего году определения сметной стоимости работ. Для работ по объектам, являющимся особо опасными, технически сложными, уникальными объектами согласно </w:t>
      </w:r>
      <w:hyperlink r:id="rId8">
        <w:r>
          <w:rPr>
            <w:rStyle w:val="Hyperlink"/>
            <w:rFonts w:ascii="Times New Roman" w:hAnsi="Times New Roman"/>
            <w:sz w:val="22"/>
            <w:szCs w:val="22"/>
          </w:rPr>
          <w:t>статье 48.1</w:t>
        </w:r>
      </w:hyperlink>
      <w:r>
        <w:rPr>
          <w:rFonts w:cs="Times New Roman" w:ascii="Times New Roman" w:hAnsi="Times New Roman"/>
          <w:sz w:val="22"/>
          <w:szCs w:val="22"/>
        </w:rPr>
        <w:t xml:space="preserve"> Градостроительного кодекса Российской Федерации, а также для работ по подготовке проектной документации, содержащей материалы в форме информационной модели, среднемесячная заработная плата принимается для деятельности в области инженерно-технического проектирования (</w:t>
      </w:r>
      <w:hyperlink r:id="rId9">
        <w:r>
          <w:rPr>
            <w:rStyle w:val="Hyperlink"/>
            <w:rFonts w:ascii="Times New Roman" w:hAnsi="Times New Roman"/>
            <w:sz w:val="22"/>
            <w:szCs w:val="22"/>
          </w:rPr>
          <w:t>код 71.12</w:t>
        </w:r>
      </w:hyperlink>
      <w:r>
        <w:rPr>
          <w:rFonts w:cs="Times New Roman" w:ascii="Times New Roman" w:hAnsi="Times New Roman"/>
          <w:sz w:val="22"/>
          <w:szCs w:val="22"/>
        </w:rPr>
        <w:t xml:space="preserve"> согласно ОК 029-2014 (КДЕС ред. 2) Общероссийского классификатора)</w:t>
      </w:r>
      <w:r>
        <w:rPr>
          <w:rStyle w:val="FootnoteReference"/>
          <w:rFonts w:ascii="Times New Roman" w:hAnsi="Times New Roman"/>
          <w:sz w:val="22"/>
          <w:szCs w:val="22"/>
        </w:rPr>
        <w:footnoteReference w:id="2"/>
      </w:r>
      <w:r>
        <w:rPr>
          <w:rFonts w:cs="Times New Roman" w:ascii="Times New Roman" w:hAnsi="Times New Roman"/>
          <w:sz w:val="22"/>
          <w:szCs w:val="22"/>
        </w:rPr>
        <w:t>;</w:t>
      </w:r>
    </w:p>
    <w:p>
      <w:pPr>
        <w:pStyle w:val="ConsPlusNormal1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/>
      </w:r>
      <m:oMath xmlns:m="http://schemas.openxmlformats.org/officeDocument/2006/math">
        <m:r>
          <w:rPr>
            <w:rFonts w:ascii="Cambria Math" w:hAnsi="Cambria Math"/>
          </w:rPr>
          <m:t xml:space="preserve">К</m:t>
        </m:r>
        <m:r>
          <w:rPr>
            <w:rFonts w:ascii="Cambria Math" w:hAnsi="Cambria Math"/>
          </w:rPr>
          <m:t xml:space="preserve">з</m:t>
        </m:r>
      </m:oMath>
      <w:r>
        <w:rPr>
          <w:rFonts w:cs="Times New Roman" w:ascii="Times New Roman" w:hAnsi="Times New Roman"/>
          <w:sz w:val="22"/>
          <w:szCs w:val="22"/>
        </w:rPr>
        <w:t xml:space="preserve"> </w:t>
      </w:r>
      <w:r>
        <w:rPr>
          <w:rFonts w:cs="Times New Roman" w:ascii="Times New Roman" w:hAnsi="Times New Roman"/>
          <w:sz w:val="22"/>
          <w:szCs w:val="22"/>
        </w:rPr>
        <w:t>- коэффициент, учитывающий долю оплаты труда производственного персонала в себестоимости работ: К3 принимается в размере 40,06%;</w:t>
      </w:r>
    </w:p>
    <w:p>
      <w:pPr>
        <w:pStyle w:val="ConsPlusNormal1"/>
        <w:numPr>
          <w:ilvl w:val="1"/>
          <w:numId w:val="16"/>
        </w:numPr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коэффициент, квалификации-участия (</w:t>
      </w:r>
      <w:r>
        <w:rPr/>
      </w:r>
      <m:oMath xmlns:m="http://schemas.openxmlformats.org/officeDocument/2006/math">
        <m:sSub>
          <m:e>
            <m:r>
              <w:rPr>
                <w:rFonts w:ascii="Cambria Math" w:hAnsi="Cambria Math"/>
              </w:rPr>
              <m:t xml:space="preserve">К</m:t>
            </m:r>
          </m:e>
          <m:sub>
            <m:r>
              <w:rPr>
                <w:rFonts w:ascii="Cambria Math" w:hAnsi="Cambria Math"/>
              </w:rPr>
              <m:t xml:space="preserve">кв</m:t>
            </m:r>
            <m:r>
              <w:rPr>
                <w:rFonts w:ascii="Cambria Math" w:hAnsi="Cambria Math"/>
              </w:rPr>
              <m:t xml:space="preserve">−</m:t>
            </m:r>
            <m:r>
              <w:rPr>
                <w:rFonts w:ascii="Cambria Math" w:hAnsi="Cambria Math"/>
              </w:rPr>
              <m:t xml:space="preserve">уч</m:t>
            </m:r>
          </m:sub>
        </m:sSub>
      </m:oMath>
      <w:r>
        <w:rPr>
          <w:rFonts w:cs="Times New Roman" w:ascii="Times New Roman" w:hAnsi="Times New Roman"/>
          <w:sz w:val="22"/>
          <w:szCs w:val="22"/>
        </w:rPr>
        <w:t>), определяется по формуле:</w:t>
      </w:r>
    </w:p>
    <w:p>
      <w:pPr>
        <w:pStyle w:val="ConsPlusNormal1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ConsPlusNormal1"/>
        <w:ind w:firstLine="709"/>
        <w:jc w:val="center"/>
        <w:rPr>
          <w:rFonts w:ascii="Times New Roman" w:hAnsi="Times New Roman" w:cs="Times New Roman"/>
          <w:sz w:val="22"/>
          <w:szCs w:val="22"/>
        </w:rPr>
      </w:pPr>
      <w:r>
        <w:rPr/>
      </w:r>
      <m:oMathPara xmlns:m="http://schemas.openxmlformats.org/officeDocument/2006/math">
        <m:oMathParaPr>
          <m:jc m:val="center"/>
        </m:oMathParaPr>
        <m:oMath>
          <m:sSub>
            <m:e>
              <m:r>
                <w:rPr>
                  <w:rFonts w:ascii="Cambria Math" w:hAnsi="Cambria Math"/>
                </w:rPr>
                <m:t xml:space="preserve">К</m:t>
              </m:r>
            </m:e>
            <m:sub>
              <m:r>
                <w:rPr>
                  <w:rFonts w:ascii="Cambria Math" w:hAnsi="Cambria Math"/>
                </w:rPr>
                <m:t xml:space="preserve">кв</m:t>
              </m:r>
              <m:r>
                <w:rPr>
                  <w:rFonts w:ascii="Cambria Math" w:hAnsi="Cambria Math"/>
                </w:rPr>
                <m:t xml:space="preserve">−</m:t>
              </m:r>
              <m:r>
                <w:rPr>
                  <w:rFonts w:ascii="Cambria Math" w:hAnsi="Cambria Math"/>
                </w:rPr>
                <m:t xml:space="preserve">уч</m:t>
              </m:r>
            </m:sub>
          </m:sSub>
          <m:r>
            <w:rPr>
              <w:rFonts w:ascii="Cambria Math" w:hAnsi="Cambria Math"/>
            </w:rPr>
            <m:t xml:space="preserve">=</m:t>
          </m:r>
          <m:f>
            <m:num>
              <m:nary>
                <m:naryPr>
                  <m:chr m:val="∑"/>
                </m:naryPr>
                <m:sub>
                  <m:r>
                    <w:rPr>
                      <w:rFonts w:ascii="Cambria Math" w:hAnsi="Cambria Math"/>
                    </w:rPr>
                    <m:t xml:space="preserve">i</m:t>
                  </m:r>
                  <m:r>
                    <w:rPr>
                      <w:rFonts w:ascii="Cambria Math" w:hAnsi="Cambria Math"/>
                    </w:rPr>
                    <m:t xml:space="preserve">=</m:t>
                  </m:r>
                  <m:r>
                    <w:rPr>
                      <w:rFonts w:ascii="Cambria Math" w:hAnsi="Cambria Math"/>
                    </w:rPr>
                    <m:t xml:space="preserve">1</m:t>
                  </m:r>
                </m:sub>
                <m:sup>
                  <m:r>
                    <w:rPr>
                      <w:rFonts w:ascii="Cambria Math" w:hAnsi="Cambria Math"/>
                    </w:rPr>
                    <m:t xml:space="preserve">n</m:t>
                  </m:r>
                </m:sup>
                <m:e>
                  <m:f>
                    <m:num>
                      <m:sSub>
                        <m:e>
                          <m:r>
                            <w:rPr>
                              <w:rFonts w:ascii="Cambria Math" w:hAnsi="Cambria Math"/>
                            </w:rPr>
                            <m:t xml:space="preserve">T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 xml:space="preserve">ф</m:t>
                          </m:r>
                          <m:r>
                            <w:rPr>
                              <w:rFonts w:ascii="Cambria Math" w:hAnsi="Cambria Math"/>
                            </w:rPr>
                            <m:t xml:space="preserve">i</m:t>
                          </m:r>
                        </m:sub>
                      </m:sSub>
                    </m:num>
                    <m:den>
                      <m:sSub>
                        <m:e>
                          <m:r>
                            <w:rPr>
                              <w:rFonts w:ascii="Cambria Math" w:hAnsi="Cambria Math"/>
                            </w:rPr>
                            <m:t xml:space="preserve">Т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 xml:space="preserve">общ</m:t>
                          </m:r>
                        </m:sub>
                      </m:sSub>
                    </m:den>
                  </m:f>
                </m:e>
              </m:nary>
              <m:r>
                <w:rPr>
                  <w:rFonts w:ascii="Cambria Math" w:hAnsi="Cambria Math"/>
                </w:rPr>
                <m:t xml:space="preserve">×</m:t>
              </m:r>
              <m:sSub>
                <m:e>
                  <m:r>
                    <w:rPr>
                      <w:rFonts w:ascii="Cambria Math" w:hAnsi="Cambria Math"/>
                    </w:rPr>
                    <m:t xml:space="preserve">Ч</m:t>
                  </m:r>
                </m:e>
                <m:sub>
                  <m:r>
                    <w:rPr>
                      <w:rFonts w:ascii="Cambria Math" w:hAnsi="Cambria Math"/>
                    </w:rPr>
                    <m:t xml:space="preserve">i</m:t>
                  </m:r>
                </m:sub>
              </m:sSub>
              <m:r>
                <w:rPr>
                  <w:rFonts w:ascii="Cambria Math" w:hAnsi="Cambria Math"/>
                </w:rPr>
                <m:t xml:space="preserve">×</m:t>
              </m:r>
              <m:sSub>
                <m:e>
                  <m:r>
                    <w:rPr>
                      <w:rFonts w:ascii="Cambria Math" w:hAnsi="Cambria Math"/>
                    </w:rPr>
                    <m:t xml:space="preserve">И</m:t>
                  </m:r>
                </m:e>
                <m:sub>
                  <m:r>
                    <w:rPr>
                      <w:rFonts w:ascii="Cambria Math" w:hAnsi="Cambria Math"/>
                    </w:rPr>
                    <m:t xml:space="preserve">i</m:t>
                  </m:r>
                </m:sub>
              </m:sSub>
            </m:num>
            <m:den>
              <m:sSub>
                <m:e>
                  <m:r>
                    <w:rPr>
                      <w:rFonts w:ascii="Cambria Math" w:hAnsi="Cambria Math"/>
                    </w:rPr>
                    <m:t xml:space="preserve">Ч</m:t>
                  </m:r>
                </m:e>
                <m:sub>
                  <m:r>
                    <w:rPr>
                      <w:rFonts w:ascii="Cambria Math" w:hAnsi="Cambria Math"/>
                    </w:rPr>
                    <m:t xml:space="preserve">общ</m:t>
                  </m:r>
                </m:sub>
              </m:sSub>
            </m:den>
          </m:f>
        </m:oMath>
      </m:oMathPara>
    </w:p>
    <w:p>
      <w:pPr>
        <w:pStyle w:val="ConsPlusNormal1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где:</w:t>
      </w:r>
    </w:p>
    <w:p>
      <w:pPr>
        <w:pStyle w:val="ConsPlusNormal1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/>
      </w:r>
      <m:oMath xmlns:m="http://schemas.openxmlformats.org/officeDocument/2006/math">
        <m:sSub>
          <m:e>
            <m:r>
              <w:rPr>
                <w:rFonts w:ascii="Cambria Math" w:hAnsi="Cambria Math"/>
              </w:rPr>
              <m:t xml:space="preserve">И</m:t>
            </m:r>
          </m:e>
          <m:sub>
            <m:r>
              <w:rPr>
                <w:rFonts w:ascii="Cambria Math" w:hAnsi="Cambria Math"/>
              </w:rPr>
              <m:t xml:space="preserve">i</m:t>
            </m:r>
          </m:sub>
        </m:sSub>
      </m:oMath>
      <w:r>
        <w:rPr>
          <w:rFonts w:cs="Times New Roman" w:ascii="Times New Roman" w:hAnsi="Times New Roman"/>
          <w:sz w:val="22"/>
          <w:szCs w:val="22"/>
        </w:rPr>
        <w:t xml:space="preserve"> </w:t>
      </w:r>
      <w:r>
        <w:rPr>
          <w:rFonts w:cs="Times New Roman" w:ascii="Times New Roman" w:hAnsi="Times New Roman"/>
          <w:sz w:val="22"/>
          <w:szCs w:val="22"/>
        </w:rPr>
        <w:t xml:space="preserve">- индекс квалификации непосредственных исполнителей согласно </w:t>
      </w:r>
      <w:hyperlink w:anchor="P1654">
        <w:r>
          <w:rPr>
            <w:rStyle w:val="Hyperlink"/>
            <w:rFonts w:ascii="Times New Roman" w:hAnsi="Times New Roman"/>
            <w:sz w:val="22"/>
            <w:szCs w:val="22"/>
          </w:rPr>
          <w:t>таблицам 1.3</w:t>
        </w:r>
      </w:hyperlink>
      <w:r>
        <w:rPr>
          <w:rFonts w:cs="Times New Roman" w:ascii="Times New Roman" w:hAnsi="Times New Roman"/>
          <w:sz w:val="22"/>
          <w:szCs w:val="22"/>
        </w:rPr>
        <w:t xml:space="preserve"> - </w:t>
      </w:r>
      <w:hyperlink w:anchor="P1701">
        <w:r>
          <w:rPr>
            <w:rStyle w:val="Hyperlink"/>
            <w:rFonts w:ascii="Times New Roman" w:hAnsi="Times New Roman"/>
            <w:sz w:val="22"/>
            <w:szCs w:val="22"/>
          </w:rPr>
          <w:t>1.4</w:t>
        </w:r>
      </w:hyperlink>
      <w:r>
        <w:rPr>
          <w:rFonts w:cs="Times New Roman" w:ascii="Times New Roman" w:hAnsi="Times New Roman"/>
          <w:sz w:val="22"/>
          <w:szCs w:val="22"/>
        </w:rPr>
        <w:t xml:space="preserve">, приведенным в приложении N 2 к Методике №707. Для отдельных отраслей индексы, приведенные в </w:t>
      </w:r>
      <w:hyperlink w:anchor="P1654">
        <w:r>
          <w:rPr>
            <w:rStyle w:val="Hyperlink"/>
            <w:rFonts w:ascii="Times New Roman" w:hAnsi="Times New Roman"/>
            <w:sz w:val="22"/>
            <w:szCs w:val="22"/>
          </w:rPr>
          <w:t>таблицах 1.3</w:t>
        </w:r>
      </w:hyperlink>
      <w:r>
        <w:rPr>
          <w:rFonts w:cs="Times New Roman" w:ascii="Times New Roman" w:hAnsi="Times New Roman"/>
          <w:sz w:val="22"/>
          <w:szCs w:val="22"/>
        </w:rPr>
        <w:t xml:space="preserve"> - </w:t>
      </w:r>
      <w:hyperlink w:anchor="P1701">
        <w:r>
          <w:rPr>
            <w:rStyle w:val="Hyperlink"/>
            <w:rFonts w:ascii="Times New Roman" w:hAnsi="Times New Roman"/>
            <w:sz w:val="22"/>
            <w:szCs w:val="22"/>
          </w:rPr>
          <w:t>1.4</w:t>
        </w:r>
      </w:hyperlink>
      <w:r>
        <w:rPr>
          <w:rFonts w:cs="Times New Roman" w:ascii="Times New Roman" w:hAnsi="Times New Roman"/>
          <w:sz w:val="22"/>
          <w:szCs w:val="22"/>
        </w:rPr>
        <w:t xml:space="preserve"> приложения N 2 к Методике №707, подлежат уточнению при предоставлении соответствующих обоснований (бухгалтерских справок и аналогичных документов), документально подтвержденных уполномоченными лицами проектной организации;</w:t>
      </w:r>
    </w:p>
    <w:p>
      <w:pPr>
        <w:pStyle w:val="ConsPlusNormal1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/>
      </w:r>
      <m:oMath xmlns:m="http://schemas.openxmlformats.org/officeDocument/2006/math">
        <m:sSub>
          <m:e>
            <m:r>
              <w:rPr>
                <w:rFonts w:ascii="Cambria Math" w:hAnsi="Cambria Math"/>
              </w:rPr>
              <m:t xml:space="preserve">Ч</m:t>
            </m:r>
          </m:e>
          <m:sub>
            <m:r>
              <w:rPr>
                <w:rFonts w:ascii="Cambria Math" w:hAnsi="Cambria Math"/>
              </w:rPr>
              <m:t xml:space="preserve">i</m:t>
            </m:r>
          </m:sub>
        </m:sSub>
      </m:oMath>
      <w:r>
        <w:rPr>
          <w:rFonts w:cs="Times New Roman" w:ascii="Times New Roman" w:hAnsi="Times New Roman"/>
          <w:sz w:val="22"/>
          <w:szCs w:val="22"/>
        </w:rPr>
        <w:t xml:space="preserve"> </w:t>
      </w:r>
      <w:r>
        <w:rPr>
          <w:rFonts w:cs="Times New Roman" w:ascii="Times New Roman" w:hAnsi="Times New Roman"/>
          <w:sz w:val="22"/>
          <w:szCs w:val="22"/>
        </w:rPr>
        <w:t>- численность исполнителей одинаковой квалификации, чел.;</w:t>
      </w:r>
    </w:p>
    <w:p>
      <w:pPr>
        <w:pStyle w:val="ConsPlusNormal1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/>
      </w:r>
      <m:oMath xmlns:m="http://schemas.openxmlformats.org/officeDocument/2006/math">
        <m:sSub>
          <m:e>
            <m:r>
              <w:rPr>
                <w:rFonts w:ascii="Cambria Math" w:hAnsi="Cambria Math"/>
              </w:rPr>
              <m:t xml:space="preserve">T</m:t>
            </m:r>
          </m:e>
          <m:sub>
            <m:r>
              <w:rPr>
                <w:rFonts w:ascii="Cambria Math" w:hAnsi="Cambria Math"/>
              </w:rPr>
              <m:t xml:space="preserve">ф</m:t>
            </m:r>
            <m:r>
              <w:rPr>
                <w:rFonts w:ascii="Cambria Math" w:hAnsi="Cambria Math"/>
              </w:rPr>
              <m:t xml:space="preserve">i</m:t>
            </m:r>
          </m:sub>
        </m:sSub>
      </m:oMath>
      <w:r>
        <w:rPr>
          <w:rFonts w:cs="Times New Roman" w:ascii="Times New Roman" w:hAnsi="Times New Roman"/>
          <w:sz w:val="22"/>
          <w:szCs w:val="22"/>
        </w:rPr>
        <w:t xml:space="preserve"> </w:t>
      </w:r>
      <w:r>
        <w:rPr>
          <w:rFonts w:cs="Times New Roman" w:ascii="Times New Roman" w:hAnsi="Times New Roman"/>
          <w:sz w:val="22"/>
          <w:szCs w:val="22"/>
        </w:rPr>
        <w:t>- фактическое время работы исполнителей одинаковой квалификации, дни.</w:t>
      </w:r>
    </w:p>
    <w:p>
      <w:pPr>
        <w:pStyle w:val="ConsPlusNormal1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Численность и должностные категории (квалификация) исполнителей, фактическое время работы исполнителей одинаковой квалификации определяются на основании положений документов по стандартизации согласно </w:t>
      </w:r>
      <w:hyperlink r:id="rId10">
        <w:r>
          <w:rPr>
            <w:rStyle w:val="Hyperlink"/>
            <w:rFonts w:ascii="Times New Roman" w:hAnsi="Times New Roman"/>
            <w:sz w:val="22"/>
            <w:szCs w:val="22"/>
          </w:rPr>
          <w:t>статье 14</w:t>
        </w:r>
      </w:hyperlink>
      <w:r>
        <w:rPr>
          <w:rFonts w:cs="Times New Roman" w:ascii="Times New Roman" w:hAnsi="Times New Roman"/>
          <w:sz w:val="22"/>
          <w:szCs w:val="22"/>
        </w:rPr>
        <w:t xml:space="preserve"> Федерального закона от 29 июня 2015 г. N 162-ФЗ "О стандартизации в Российской Федерации" (Собрание законодательства Российской Федерации, 2015, N 27, ст. 3953; 2021, N 1, ст. 62), стандартов процесса подготовки проектной документации согласно </w:t>
      </w:r>
      <w:hyperlink r:id="rId11">
        <w:r>
          <w:rPr>
            <w:rStyle w:val="Hyperlink"/>
            <w:rFonts w:ascii="Times New Roman" w:hAnsi="Times New Roman"/>
            <w:sz w:val="22"/>
            <w:szCs w:val="22"/>
          </w:rPr>
          <w:t>пункту 10 части 8 статьи 55.20</w:t>
        </w:r>
      </w:hyperlink>
      <w:r>
        <w:rPr>
          <w:rFonts w:cs="Times New Roman" w:ascii="Times New Roman" w:hAnsi="Times New Roman"/>
          <w:sz w:val="22"/>
          <w:szCs w:val="22"/>
        </w:rPr>
        <w:t xml:space="preserve"> Градостроительного кодекса Российской Федерации (Собрание законодательства Российской Федерации, 2005, N 1, ст. 16; 2018, N 32, ст. 5133), норм проектирования, данных о трудоемкости объектов-аналогов, результатов опроса, проведенного среди не менее трех проектных организаций, специализирующихся на выполнение проектных работ, на которые подготавливается смета, таблиц технологического процесса выполнения проектных работ по объекту, продолжительности выполняемых работ, указанных в календарном плане к договору на выполнение проектных работ, данных о времени и количестве исполнителей определенной квалификации, принимающих участие в выполнении проектных работ, которые должны быть подписаны руководителем проектной организации, предоставляющей такие данные, и заверены ее печатью.</w:t>
      </w:r>
    </w:p>
    <w:p>
      <w:pPr>
        <w:pStyle w:val="ConsPlusNormal1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Общий срок проектирования объекта в месяцах не должен превышать нормативные сроки, установленные положениями Приказа Минстроя РФ от 15.05.2020г. № 264/пр «Об установлении срока, необходимого для выполнения инженерных изысканий, осуществления архитектурно-строительного проектирования и строительства зданий, сооружений, в целях расчета срока договора аренды земельного участка, находящегося в государственной или муниципальной собственности».</w:t>
      </w:r>
    </w:p>
    <w:p>
      <w:pPr>
        <w:pStyle w:val="ConsPlusNormal1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Для объектов, сроки проектирования которых невозможно определить в соответствии с указанным Приказом, допустимо применение иных документов, не противоречащих действующему законодательству.</w:t>
      </w:r>
    </w:p>
    <w:p>
      <w:pPr>
        <w:pStyle w:val="ListParagraph"/>
        <w:numPr>
          <w:ilvl w:val="1"/>
          <w:numId w:val="16"/>
        </w:numPr>
        <w:tabs>
          <w:tab w:val="clear" w:pos="708"/>
          <w:tab w:val="left" w:pos="1134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Стоимость проектных работ, определяемых в соответствии с калькуляцией затрат, не учитывает командировочные расходы, определяемые дополнительно.</w:t>
      </w:r>
    </w:p>
    <w:p>
      <w:pPr>
        <w:pStyle w:val="ListParagraph"/>
        <w:numPr>
          <w:ilvl w:val="0"/>
          <w:numId w:val="15"/>
        </w:numPr>
        <w:tabs>
          <w:tab w:val="clear" w:pos="708"/>
          <w:tab w:val="left" w:pos="1134" w:leader="none"/>
        </w:tabs>
        <w:spacing w:before="0" w:after="0"/>
        <w:contextualSpacing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</w:rPr>
        <w:t>Для обоснования командировочных расходов предоставляется отдельно выполненный расчет (форма 4п) с расшифровкой затрат на проезд, проживание</w:t>
      </w:r>
      <w:r>
        <w:rPr>
          <w:rFonts w:ascii="Times New Roman" w:hAnsi="Times New Roman"/>
          <w:color w:val="000000"/>
        </w:rPr>
        <w:t>, суточные расходы. Размер расходов на проезд и стоимость проживания в гостинице определяется на момент составления расчета.</w:t>
      </w:r>
    </w:p>
    <w:p>
      <w:pPr>
        <w:pStyle w:val="Normal"/>
        <w:tabs>
          <w:tab w:val="clear" w:pos="708"/>
          <w:tab w:val="left" w:pos="993" w:leader="none"/>
          <w:tab w:val="left" w:pos="1080" w:leader="none"/>
        </w:tabs>
        <w:spacing w:lineRule="auto" w:line="240" w:before="0" w:after="0"/>
        <w:ind w:firstLine="709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Размеры возмещения расходов, связанных со служебными командировками, определяются коллективным договором и/или локальным нормативным актом организации–исполнителя, но не выше нормативов возмещения расходов, связанных со служебными командировками, установленных локальным нормативным актом организации–заказчика.</w:t>
      </w:r>
    </w:p>
    <w:p>
      <w:pPr>
        <w:pStyle w:val="ConsPlusNormal1"/>
        <w:tabs>
          <w:tab w:val="clear" w:pos="708"/>
          <w:tab w:val="left" w:pos="284" w:leader="none"/>
        </w:tabs>
        <w:ind w:firstLine="709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cs="Times New Roman" w:ascii="Times New Roman" w:hAnsi="Times New Roman"/>
          <w:color w:val="000000"/>
          <w:sz w:val="22"/>
          <w:szCs w:val="22"/>
        </w:rPr>
        <w:t>Лимиты командировочных расходов при производстве проектных работ не более:</w:t>
      </w:r>
    </w:p>
    <w:p>
      <w:pPr>
        <w:pStyle w:val="ListParagraph"/>
        <w:numPr>
          <w:ilvl w:val="0"/>
          <w:numId w:val="3"/>
        </w:numPr>
        <w:tabs>
          <w:tab w:val="clear" w:pos="708"/>
          <w:tab w:val="left" w:pos="851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суточные - 700 руб./сутки;</w:t>
      </w:r>
    </w:p>
    <w:p>
      <w:pPr>
        <w:pStyle w:val="ListParagraph"/>
        <w:numPr>
          <w:ilvl w:val="0"/>
          <w:numId w:val="3"/>
        </w:numPr>
        <w:tabs>
          <w:tab w:val="clear" w:pos="708"/>
          <w:tab w:val="left" w:pos="851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проживание – 4000 руб./сутки;</w:t>
      </w:r>
    </w:p>
    <w:p>
      <w:pPr>
        <w:pStyle w:val="ListParagraph"/>
        <w:numPr>
          <w:ilvl w:val="0"/>
          <w:numId w:val="3"/>
        </w:numPr>
        <w:tabs>
          <w:tab w:val="clear" w:pos="708"/>
          <w:tab w:val="left" w:pos="851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проезд: поезд (купе) или самолет (класс–эконом с багажом до 20 (двадцати) кг, ручная кладь до 10 (десяти) кг).</w:t>
      </w:r>
    </w:p>
    <w:p>
      <w:pPr>
        <w:pStyle w:val="ListParagraph"/>
        <w:tabs>
          <w:tab w:val="clear" w:pos="708"/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При учете командировочных расходов стоимость проезда (авиа-, ж/д, …) определяется Методом анализа ТКП в соответствии с Методикой ПЦ.</w:t>
      </w:r>
    </w:p>
    <w:p>
      <w:pPr>
        <w:pStyle w:val="ListParagraph"/>
        <w:tabs>
          <w:tab w:val="clear" w:pos="708"/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При наличии командированных расходов необходимо составлять общий реестр стоимости проездных билетов с разбивкой по сметам, к которым они относятся.</w:t>
      </w:r>
    </w:p>
    <w:p>
      <w:pPr>
        <w:pStyle w:val="ConsPlusNormal1"/>
        <w:widowControl/>
        <w:numPr>
          <w:ilvl w:val="0"/>
          <w:numId w:val="15"/>
        </w:numPr>
        <w:tabs>
          <w:tab w:val="clear" w:pos="708"/>
          <w:tab w:val="left" w:pos="284" w:leader="none"/>
          <w:tab w:val="left" w:pos="1134" w:leader="none"/>
        </w:tabs>
        <w:spacing w:before="40" w:after="40"/>
        <w:ind w:left="0" w:firstLine="426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Для пересчета сметной стоимости в прогнозный уровень цен допускается использовать  текущие индексы – дефляторы в соответствии с прогнозом Министерства экономического развития РФ (прогноз «базовый», в соответствии с планируемым периодом выполнения работ). Расчет индексов-дефляторов производить согласно Единой методики формирования плановой цены на закупаемую продукцию для организаций группы РусГидро, утвержденную приказом № 806 от 21.11.2024 с учетом изменений согласно приказу №911 от 24.12.2024 г.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 2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Требованиям к оформлению и составлению 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сметной документации на выполнение проектных работ</w:t>
      </w:r>
    </w:p>
    <w:p>
      <w:pPr>
        <w:pStyle w:val="Normal"/>
        <w:shd w:val="clear" w:color="auto" w:fill="FFFFFF"/>
        <w:spacing w:lineRule="auto" w:line="240" w:before="0" w:after="0"/>
        <w:ind w:firstLine="284"/>
        <w:jc w:val="center"/>
        <w:rPr>
          <w:rFonts w:ascii="Times New Roman" w:hAnsi="Times New Roman"/>
          <w:b/>
          <w:bCs/>
          <w:iCs/>
          <w:spacing w:val="-4"/>
        </w:rPr>
      </w:pPr>
      <w:r>
        <w:rPr>
          <w:rFonts w:ascii="Times New Roman" w:hAnsi="Times New Roman"/>
          <w:b/>
          <w:bCs/>
          <w:iCs/>
          <w:spacing w:val="-4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/>
          <w:b/>
          <w:bCs/>
          <w:iCs/>
          <w:spacing w:val="-4"/>
        </w:rPr>
      </w:pPr>
      <w:r>
        <w:rPr>
          <w:rFonts w:ascii="Times New Roman" w:hAnsi="Times New Roman"/>
          <w:b/>
          <w:bCs/>
          <w:iCs/>
          <w:spacing w:val="-4"/>
        </w:rPr>
        <w:t>Образец сметы</w:t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/>
          <w:b/>
          <w:bCs/>
          <w:iCs/>
          <w:spacing w:val="-4"/>
        </w:rPr>
      </w:pPr>
      <w:r>
        <w:rPr>
          <w:rFonts w:ascii="Times New Roman" w:hAnsi="Times New Roman"/>
          <w:b/>
          <w:bCs/>
          <w:iCs/>
          <w:spacing w:val="-4"/>
        </w:rPr>
        <w:t xml:space="preserve">на основные и дополнительные проектные работы, </w:t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/>
          <w:b/>
          <w:spacing w:val="-4"/>
        </w:rPr>
      </w:pPr>
      <w:r>
        <w:rPr>
          <w:rFonts w:ascii="Times New Roman" w:hAnsi="Times New Roman"/>
          <w:b/>
          <w:bCs/>
          <w:iCs/>
          <w:spacing w:val="-4"/>
        </w:rPr>
        <w:t>а также сопутствующие работы (форма 2П)</w:t>
      </w:r>
    </w:p>
    <w:p>
      <w:pPr>
        <w:pStyle w:val="Normal"/>
        <w:shd w:val="clear" w:color="auto" w:fill="FFFFFF"/>
        <w:spacing w:lineRule="auto" w:line="240" w:before="0" w:after="0"/>
        <w:jc w:val="righ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</w:p>
    <w:tbl>
      <w:tblPr>
        <w:tblW w:w="8505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8505"/>
      </w:tblGrid>
      <w:tr>
        <w:trPr/>
        <w:tc>
          <w:tcPr>
            <w:tcW w:w="8505" w:type="dxa"/>
            <w:tcBorders/>
          </w:tcPr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СМЕТА № </w:t>
              <w:br/>
              <w:t>на проектные  работы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___________________________________________________________________________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(наименование объекта)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Заказчик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________________________________________________________________________________(наименование организации)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Проектная организация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___________________________________________________________________________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(наименование организации)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Составлена в уровне цен на ___________________20___ г.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руб.</w:t>
            </w:r>
          </w:p>
          <w:tbl>
            <w:tblPr>
              <w:tblW w:w="5000" w:type="pct"/>
              <w:jc w:val="center"/>
              <w:tblInd w:w="0" w:type="dxa"/>
              <w:tblLayout w:type="fixed"/>
              <w:tblCellMar>
                <w:top w:w="0" w:type="dxa"/>
                <w:left w:w="28" w:type="dxa"/>
                <w:bottom w:w="0" w:type="dxa"/>
                <w:right w:w="28" w:type="dxa"/>
              </w:tblCellMar>
              <w:tblLook w:val="04a0" w:noVBand="1" w:noHBand="0" w:lastColumn="0" w:firstColumn="1" w:lastRow="0" w:firstRow="1"/>
            </w:tblPr>
            <w:tblGrid>
              <w:gridCol w:w="374"/>
              <w:gridCol w:w="1955"/>
              <w:gridCol w:w="2627"/>
              <w:gridCol w:w="2053"/>
              <w:gridCol w:w="1280"/>
            </w:tblGrid>
            <w:tr>
              <w:trPr>
                <w:tblHeader w:val="true"/>
              </w:trPr>
              <w:tc>
                <w:tcPr>
                  <w:tcW w:w="374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</w:rPr>
                    <w:t xml:space="preserve">№ </w:t>
                  </w:r>
                  <w:r>
                    <w:rPr>
                      <w:rFonts w:ascii="Times New Roman" w:hAnsi="Times New Roman"/>
                    </w:rPr>
                    <w:t>пп</w:t>
                  </w:r>
                </w:p>
              </w:tc>
              <w:tc>
                <w:tcPr>
                  <w:tcW w:w="1955" w:type="dxa"/>
                  <w:vMerge w:val="restart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</w:rPr>
                    <w:t>Наименование объекта проектирования или вида проектных работ</w:t>
                  </w:r>
                </w:p>
              </w:tc>
              <w:tc>
                <w:tcPr>
                  <w:tcW w:w="2627" w:type="dxa"/>
                  <w:vMerge w:val="restart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</w:rPr>
                    <w:t>Наименование, номера глав, таблиц, параграфов и пунктов МНЗ (СБЦ) на проектные работы</w:t>
                  </w:r>
                </w:p>
              </w:tc>
              <w:tc>
                <w:tcPr>
                  <w:tcW w:w="2053" w:type="dxa"/>
                  <w:tcBorders>
                    <w:top w:val="single" w:sz="6" w:space="0" w:color="000000"/>
                    <w:left w:val="single" w:sz="2" w:space="0" w:color="000000"/>
                    <w:bottom w:val="single" w:sz="2" w:space="0" w:color="000000"/>
                    <w:right w:val="single" w:sz="6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</w:rPr>
                    <w:t>Расчет стоимости:</w:t>
                    <w:br/>
                    <w:t xml:space="preserve"> (a + bx) </w:t>
                  </w:r>
                  <w:r>
                    <w:rPr>
                      <w:rFonts w:eastAsia="Symbol" w:cs="Symbol" w:ascii="Symbol" w:hAnsi="Symbol"/>
                    </w:rPr>
                    <w:sym w:font="Symbol" w:char="f0b4"/>
                  </w:r>
                  <w:r>
                    <w:rPr>
                      <w:rFonts w:ascii="Times New Roman" w:hAnsi="Times New Roman"/>
                    </w:rPr>
                    <w:t xml:space="preserve"> K</w:t>
                  </w:r>
                  <w:r>
                    <w:rPr>
                      <w:rFonts w:ascii="Times New Roman" w:hAnsi="Times New Roman"/>
                      <w:vertAlign w:val="subscript"/>
                    </w:rPr>
                    <w:t>i</w:t>
                  </w:r>
                  <w:r>
                    <w:rPr>
                      <w:rFonts w:ascii="Times New Roman" w:hAnsi="Times New Roman"/>
                    </w:rPr>
                    <w:t xml:space="preserve">, или (объем строительно-монтажных работ) </w:t>
                  </w:r>
                  <w:r>
                    <w:rPr>
                      <w:rFonts w:eastAsia="Symbol" w:cs="Symbol" w:ascii="Symbol" w:hAnsi="Symbol"/>
                    </w:rPr>
                    <w:sym w:font="Symbol" w:char="f0b4"/>
                  </w:r>
                  <w:r>
                    <w:rPr>
                      <w:rFonts w:ascii="Times New Roman" w:hAnsi="Times New Roman"/>
                    </w:rPr>
                    <w:t xml:space="preserve"> проц.</w:t>
                  </w:r>
                </w:p>
              </w:tc>
              <w:tc>
                <w:tcPr>
                  <w:tcW w:w="1280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</w:rPr>
                    <w:t>Сметная стоимость, руб.</w:t>
                  </w:r>
                </w:p>
              </w:tc>
            </w:tr>
            <w:tr>
              <w:trPr>
                <w:tblHeader w:val="true"/>
              </w:trPr>
              <w:tc>
                <w:tcPr>
                  <w:tcW w:w="374" w:type="dxa"/>
                  <w:vMerge w:val="continue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tcMar>
                    <w:left w:w="7" w:type="dxa"/>
                    <w:right w:w="2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</w:r>
                </w:p>
              </w:tc>
              <w:tc>
                <w:tcPr>
                  <w:tcW w:w="1955" w:type="dxa"/>
                  <w:vMerge w:val="continue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tcMar>
                    <w:left w:w="7" w:type="dxa"/>
                    <w:right w:w="2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</w:r>
                </w:p>
              </w:tc>
              <w:tc>
                <w:tcPr>
                  <w:tcW w:w="2627" w:type="dxa"/>
                  <w:vMerge w:val="continue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tcMar>
                    <w:left w:w="7" w:type="dxa"/>
                    <w:right w:w="2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</w:r>
                </w:p>
              </w:tc>
              <w:tc>
                <w:tcPr>
                  <w:tcW w:w="2053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</w:rPr>
                    <w:t>100</w:t>
                  </w:r>
                </w:p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или</w:t>
                  </w:r>
                </w:p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</w:rPr>
                    <w:t xml:space="preserve">количество </w:t>
                  </w:r>
                  <w:r>
                    <w:rPr>
                      <w:rFonts w:eastAsia="Symbol" w:cs="Symbol" w:ascii="Symbol" w:hAnsi="Symbol"/>
                    </w:rPr>
                    <w:sym w:font="Symbol" w:char="f0b4"/>
                  </w:r>
                  <w:r>
                    <w:rPr>
                      <w:rFonts w:ascii="Times New Roman" w:hAnsi="Times New Roman"/>
                    </w:rPr>
                    <w:t xml:space="preserve"> цена</w:t>
                  </w:r>
                </w:p>
              </w:tc>
              <w:tc>
                <w:tcPr>
                  <w:tcW w:w="1280" w:type="dxa"/>
                  <w:vMerge w:val="continue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color="auto" w:fill="FFFFFF" w:val="clear"/>
                  <w:tcMar>
                    <w:left w:w="7" w:type="dxa"/>
                    <w:right w:w="2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</w:r>
                </w:p>
              </w:tc>
            </w:tr>
            <w:tr>
              <w:trPr>
                <w:tblHeader w:val="true"/>
              </w:trPr>
              <w:tc>
                <w:tcPr>
                  <w:tcW w:w="37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</w:rPr>
                    <w:t>1</w:t>
                  </w:r>
                </w:p>
              </w:tc>
              <w:tc>
                <w:tcPr>
                  <w:tcW w:w="1955" w:type="dxa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2627" w:type="dxa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</w:rPr>
                    <w:t>3</w:t>
                  </w:r>
                </w:p>
              </w:tc>
              <w:tc>
                <w:tcPr>
                  <w:tcW w:w="2053" w:type="dxa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</w:rPr>
                    <w:t>4</w:t>
                  </w:r>
                </w:p>
              </w:tc>
              <w:tc>
                <w:tcPr>
                  <w:tcW w:w="12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</w:rPr>
                    <w:t>5</w:t>
                  </w:r>
                </w:p>
              </w:tc>
            </w:tr>
            <w:tr>
              <w:trPr/>
              <w:tc>
                <w:tcPr>
                  <w:tcW w:w="374" w:type="dxa"/>
                  <w:tcBorders>
                    <w:top w:val="single" w:sz="6" w:space="0" w:color="000000"/>
                    <w:left w:val="single" w:sz="6" w:space="0" w:color="000000"/>
                    <w:bottom w:val="single" w:sz="2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1955" w:type="dxa"/>
                  <w:tcBorders>
                    <w:top w:val="single" w:sz="6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2627" w:type="dxa"/>
                  <w:tcBorders>
                    <w:top w:val="single" w:sz="6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2053" w:type="dxa"/>
                  <w:tcBorders>
                    <w:top w:val="single" w:sz="6" w:space="0" w:color="000000"/>
                    <w:left w:val="single" w:sz="2" w:space="0" w:color="000000"/>
                    <w:bottom w:val="single" w:sz="2" w:space="0" w:color="000000"/>
                    <w:right w:val="single" w:sz="6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1280" w:type="dxa"/>
                  <w:tcBorders>
                    <w:top w:val="single" w:sz="6" w:space="0" w:color="000000"/>
                    <w:left w:val="single" w:sz="6" w:space="0" w:color="000000"/>
                    <w:bottom w:val="single" w:sz="2" w:space="0" w:color="000000"/>
                    <w:right w:val="single" w:sz="6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</w:rPr>
                    <w:t> </w:t>
                  </w:r>
                </w:p>
              </w:tc>
            </w:tr>
            <w:tr>
              <w:trPr/>
              <w:tc>
                <w:tcPr>
                  <w:tcW w:w="374" w:type="dxa"/>
                  <w:tcBorders>
                    <w:top w:val="single" w:sz="2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1955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2627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2053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1280" w:type="dxa"/>
                  <w:tcBorders>
                    <w:top w:val="single" w:sz="2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</w:rPr>
                    <w:t> </w:t>
                  </w:r>
                </w:p>
              </w:tc>
            </w:tr>
          </w:tbl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Составил:___________/должность, организация/____________/подпись/___________/расшифровка подписи/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Проверил:___________/должность, организация/___________/подпись/________/расшифровка подписи/</w:t>
            </w:r>
          </w:p>
        </w:tc>
      </w:tr>
      <w:tr>
        <w:trPr/>
        <w:tc>
          <w:tcPr>
            <w:tcW w:w="8505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</w:tbl>
    <w:p>
      <w:pPr>
        <w:sectPr>
          <w:footerReference w:type="default" r:id="rId12"/>
          <w:footerReference w:type="first" r:id="rId13"/>
          <w:footnotePr>
            <w:numFmt w:val="decimal"/>
            <w:numRestart w:val="eachPage"/>
          </w:footnotePr>
          <w:type w:val="nextPage"/>
          <w:pgSz w:w="11906" w:h="16838"/>
          <w:pgMar w:left="1701" w:right="1700" w:gutter="0" w:header="0" w:top="1134" w:footer="709" w:bottom="1134"/>
          <w:pgNumType w:fmt="decimal"/>
          <w:formProt w:val="false"/>
          <w:textDirection w:val="lrTb"/>
          <w:docGrid w:type="default" w:linePitch="100" w:charSpace="4096"/>
        </w:sectPr>
      </w:pPr>
    </w:p>
    <w:p>
      <w:pPr>
        <w:pStyle w:val="Normal"/>
        <w:spacing w:lineRule="auto" w:line="240" w:before="0" w:after="0"/>
        <w:ind w:left="5811" w:hanging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№3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Требованиям к оформлению и составлению 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сметной документации на выполнение проектных работ</w:t>
      </w:r>
    </w:p>
    <w:p>
      <w:pPr>
        <w:pStyle w:val="Normal"/>
        <w:spacing w:lineRule="auto" w:line="240" w:before="0" w:after="0"/>
        <w:ind w:left="5811" w:hanging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ind w:left="6373" w:hanging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Образец сметы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на проектные работы в соответствии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с калькуляцией затрат (форма 3п)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СМЕТА №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на проектные работы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ind w:right="1246" w:firstLine="113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i/>
          <w:i/>
          <w:iCs/>
        </w:rPr>
      </w:pPr>
      <w:r>
        <w:rPr>
          <w:rFonts w:ascii="Times New Roman" w:hAnsi="Times New Roman"/>
          <w:i/>
          <w:iCs/>
        </w:rPr>
        <w:t>(наименование объекта)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ind w:right="142" w:hanging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Заказчик ________________________________________________________________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i/>
          <w:i/>
          <w:iCs/>
        </w:rPr>
      </w:pPr>
      <w:r>
        <w:rPr>
          <w:rFonts w:ascii="Times New Roman" w:hAnsi="Times New Roman"/>
          <w:i/>
          <w:iCs/>
        </w:rPr>
        <w:t>(наименование организации)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ind w:right="1246" w:hanging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Проектная организация ___________________________________________________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i/>
          <w:i/>
          <w:iCs/>
        </w:rPr>
      </w:pPr>
      <w:r>
        <w:rPr>
          <w:rFonts w:ascii="Times New Roman" w:hAnsi="Times New Roman"/>
          <w:i/>
          <w:iCs/>
        </w:rPr>
        <w:t>(наименование организации)</w:t>
      </w:r>
    </w:p>
    <w:p>
      <w:pPr>
        <w:pStyle w:val="Normal"/>
        <w:spacing w:lineRule="auto" w:line="240" w:before="0" w:after="0"/>
        <w:ind w:right="1246" w:hanging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Составлена в уровне цен на ___________ 20__ г.</w:t>
      </w:r>
    </w:p>
    <w:p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Расчет коэффициента, учитывающего степень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участия исполнителей-проектировщиков различной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квалификации в выполнении проектных работ (Ккв-уч)</w:t>
      </w:r>
    </w:p>
    <w:tbl>
      <w:tblPr>
        <w:tblW w:w="5000" w:type="pct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noVBand="1" w:noHBand="0" w:lastColumn="0" w:firstColumn="1" w:lastRow="0" w:firstRow="1"/>
      </w:tblPr>
      <w:tblGrid>
        <w:gridCol w:w="450"/>
        <w:gridCol w:w="1436"/>
        <w:gridCol w:w="1397"/>
        <w:gridCol w:w="1824"/>
        <w:gridCol w:w="1357"/>
        <w:gridCol w:w="1358"/>
        <w:gridCol w:w="1531"/>
      </w:tblGrid>
      <w:tr>
        <w:trPr/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ConsPlusNormal1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N п/п</w:t>
            </w:r>
          </w:p>
        </w:tc>
        <w:tc>
          <w:tcPr>
            <w:tcW w:w="143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Наименование должностей исполнителей</w:t>
            </w:r>
          </w:p>
        </w:tc>
        <w:tc>
          <w:tcPr>
            <w:tcW w:w="139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ConsPlusNormal1"/>
              <w:widowControl w:val="false"/>
              <w:ind w:firstLine="67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Фактическое время участия исполнителя в работе, Тф (дни)</w:t>
            </w:r>
          </w:p>
        </w:tc>
        <w:tc>
          <w:tcPr>
            <w:tcW w:w="182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ConsPlusNormal1"/>
              <w:widowControl w:val="false"/>
              <w:ind w:firstLine="5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Плановая продолжительность выполнения работ, предусмотренных калькуляцией, Тп (дни)</w:t>
            </w:r>
          </w:p>
        </w:tc>
        <w:tc>
          <w:tcPr>
            <w:tcW w:w="135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ConsPlusNormal1"/>
              <w:widowControl w:val="false"/>
              <w:ind w:hanging="56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Численность исполнителей одной квалификации Чi (чел)</w:t>
            </w:r>
          </w:p>
        </w:tc>
        <w:tc>
          <w:tcPr>
            <w:tcW w:w="135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Индекс уровня квалификации специалистов исполнителей работы И</w:t>
            </w:r>
            <w:r>
              <w:rPr>
                <w:rFonts w:cs="Times New Roman" w:ascii="Times New Roman" w:hAnsi="Times New Roman"/>
                <w:lang w:val="en-US"/>
              </w:rPr>
              <w:t>i</w:t>
            </w:r>
          </w:p>
        </w:tc>
        <w:tc>
          <w:tcPr>
            <w:tcW w:w="15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ConsPlusNormal1"/>
              <w:widowControl w:val="false"/>
              <w:ind w:firstLine="6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Коэффициент квалификации (участия) специалистов одной квалификации,</w:t>
            </w:r>
          </w:p>
          <w:p>
            <w:pPr>
              <w:pStyle w:val="ConsPlusNormal1"/>
              <w:widowControl w:val="false"/>
              <w:ind w:firstLine="6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∑</w:t>
            </w:r>
            <w:r>
              <w:rPr>
                <w:rFonts w:cs="Times New Roman" w:ascii="Times New Roman" w:hAnsi="Times New Roman"/>
              </w:rPr>
              <w:t>(гр.3/итог гр.4 х гр.5 х гр.6) / ∑гр.5</w:t>
            </w:r>
          </w:p>
        </w:tc>
      </w:tr>
      <w:tr>
        <w:trPr/>
        <w:tc>
          <w:tcPr>
            <w:tcW w:w="45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hanging="8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1436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</w:t>
            </w:r>
          </w:p>
        </w:tc>
        <w:tc>
          <w:tcPr>
            <w:tcW w:w="1397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3</w:t>
            </w:r>
          </w:p>
        </w:tc>
        <w:tc>
          <w:tcPr>
            <w:tcW w:w="1824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4</w:t>
            </w:r>
          </w:p>
        </w:tc>
        <w:tc>
          <w:tcPr>
            <w:tcW w:w="1357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</w:t>
            </w:r>
          </w:p>
        </w:tc>
        <w:tc>
          <w:tcPr>
            <w:tcW w:w="1358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6</w:t>
            </w:r>
          </w:p>
        </w:tc>
        <w:tc>
          <w:tcPr>
            <w:tcW w:w="1531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7</w:t>
            </w:r>
          </w:p>
        </w:tc>
      </w:tr>
      <w:tr>
        <w:trPr/>
        <w:tc>
          <w:tcPr>
            <w:tcW w:w="45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36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97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24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hanging="51"/>
              <w:jc w:val="center"/>
              <w:rPr>
                <w:rFonts w:ascii="Times New Roman" w:hAnsi="Times New Roman" w:cs="Times New Roman"/>
              </w:rPr>
            </w:pPr>
            <w:hyperlink w:anchor="P3816">
              <w:r>
                <w:rPr>
                  <w:rStyle w:val="Hyperlink"/>
                  <w:rFonts w:ascii="Times New Roman" w:hAnsi="Times New Roman"/>
                </w:rPr>
                <w:t>*</w:t>
              </w:r>
            </w:hyperlink>
          </w:p>
        </w:tc>
        <w:tc>
          <w:tcPr>
            <w:tcW w:w="1357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58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31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45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36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97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24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hanging="51"/>
              <w:jc w:val="center"/>
              <w:rPr>
                <w:rFonts w:ascii="Times New Roman" w:hAnsi="Times New Roman" w:cs="Times New Roman"/>
              </w:rPr>
            </w:pPr>
            <w:hyperlink w:anchor="P3816">
              <w:r>
                <w:rPr>
                  <w:rStyle w:val="Hyperlink"/>
                  <w:rFonts w:ascii="Times New Roman" w:hAnsi="Times New Roman"/>
                </w:rPr>
                <w:t>*</w:t>
              </w:r>
            </w:hyperlink>
          </w:p>
        </w:tc>
        <w:tc>
          <w:tcPr>
            <w:tcW w:w="1357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58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31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45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36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97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24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hanging="51"/>
              <w:jc w:val="center"/>
              <w:rPr>
                <w:rFonts w:ascii="Times New Roman" w:hAnsi="Times New Roman" w:cs="Times New Roman"/>
              </w:rPr>
            </w:pPr>
            <w:hyperlink w:anchor="P3816">
              <w:r>
                <w:rPr>
                  <w:rStyle w:val="Hyperlink"/>
                  <w:rFonts w:ascii="Times New Roman" w:hAnsi="Times New Roman"/>
                </w:rPr>
                <w:t>*</w:t>
              </w:r>
            </w:hyperlink>
          </w:p>
        </w:tc>
        <w:tc>
          <w:tcPr>
            <w:tcW w:w="1357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58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31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45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36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jc w:val="righ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Итого</w:t>
            </w:r>
          </w:p>
        </w:tc>
        <w:tc>
          <w:tcPr>
            <w:tcW w:w="1397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hyperlink w:anchor="P3816">
              <w:r>
                <w:rPr>
                  <w:rStyle w:val="Hyperlink"/>
                  <w:rFonts w:ascii="Times New Roman" w:hAnsi="Times New Roman"/>
                </w:rPr>
                <w:t>*</w:t>
              </w:r>
            </w:hyperlink>
          </w:p>
        </w:tc>
        <w:tc>
          <w:tcPr>
            <w:tcW w:w="1824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hanging="5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57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58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hyperlink w:anchor="P3816">
              <w:r>
                <w:rPr>
                  <w:rStyle w:val="Hyperlink"/>
                  <w:rFonts w:ascii="Times New Roman" w:hAnsi="Times New Roman"/>
                </w:rPr>
                <w:t>*</w:t>
              </w:r>
            </w:hyperlink>
          </w:p>
        </w:tc>
        <w:tc>
          <w:tcPr>
            <w:tcW w:w="1531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</w:tbl>
    <w:p>
      <w:pPr>
        <w:sectPr>
          <w:footerReference w:type="default" r:id="rId14"/>
          <w:footerReference w:type="first" r:id="rId15"/>
          <w:footnotePr>
            <w:numFmt w:val="decimal"/>
            <w:numRestart w:val="eachPage"/>
          </w:footnotePr>
          <w:type w:val="nextPage"/>
          <w:pgSz w:w="11906" w:h="16838"/>
          <w:pgMar w:left="1701" w:right="851" w:gutter="0" w:header="0" w:top="1134" w:footer="709" w:bottom="1134"/>
          <w:pgNumType w:fmt="decimal"/>
          <w:formProt w:val="false"/>
          <w:textDirection w:val="lrTb"/>
          <w:docGrid w:type="default" w:linePitch="299" w:charSpace="4096"/>
        </w:sect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Примечание: &lt;*&gt; Графы для расчета коэффициента в таблице не заполняются</w:t>
      </w:r>
      <w:r>
        <w:br w:type="page"/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Расчет стоимости проектных работ в соответствии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с калькуляцией затрат на проектирование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tbl>
      <w:tblPr>
        <w:tblW w:w="15501" w:type="dxa"/>
        <w:jc w:val="left"/>
        <w:tblInd w:w="-76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noVBand="1" w:noHBand="0" w:lastColumn="0" w:firstColumn="1" w:lastRow="0" w:firstRow="1"/>
      </w:tblPr>
      <w:tblGrid>
        <w:gridCol w:w="1691"/>
        <w:gridCol w:w="1418"/>
        <w:gridCol w:w="1700"/>
        <w:gridCol w:w="1844"/>
        <w:gridCol w:w="1134"/>
        <w:gridCol w:w="1701"/>
        <w:gridCol w:w="1416"/>
        <w:gridCol w:w="1701"/>
        <w:gridCol w:w="1604"/>
        <w:gridCol w:w="1290"/>
      </w:tblGrid>
      <w:tr>
        <w:trPr/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Среднемесячная зарплата исполнителей, руб.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Кол-во рабочих дней в месяце, дни</w:t>
            </w:r>
          </w:p>
        </w:tc>
        <w:tc>
          <w:tcPr>
            <w:tcW w:w="170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Среднедневная зарплата исполнителей, руб.</w:t>
            </w:r>
          </w:p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</w:t>
            </w:r>
            <w:hyperlink w:anchor="P3831">
              <w:r>
                <w:rPr>
                  <w:rStyle w:val="Hyperlink"/>
                  <w:rFonts w:ascii="Times New Roman" w:hAnsi="Times New Roman"/>
                </w:rPr>
                <w:t>гр 1</w:t>
              </w:r>
            </w:hyperlink>
            <w:r>
              <w:rPr>
                <w:rFonts w:cs="Times New Roman" w:ascii="Times New Roman" w:hAnsi="Times New Roman"/>
              </w:rPr>
              <w:t xml:space="preserve"> / </w:t>
            </w:r>
            <w:hyperlink w:anchor="P3832">
              <w:r>
                <w:rPr>
                  <w:rStyle w:val="Hyperlink"/>
                  <w:rFonts w:ascii="Times New Roman" w:hAnsi="Times New Roman"/>
                </w:rPr>
                <w:t>гр 2</w:t>
              </w:r>
            </w:hyperlink>
            <w:r>
              <w:rPr>
                <w:rFonts w:cs="Times New Roman" w:ascii="Times New Roman" w:hAnsi="Times New Roman"/>
              </w:rPr>
              <w:t>)</w:t>
            </w:r>
          </w:p>
        </w:tc>
        <w:tc>
          <w:tcPr>
            <w:tcW w:w="184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Удельный вес зарплаты в себестоимости работ - Кз, %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Рентабель-ность, %</w:t>
            </w:r>
          </w:p>
        </w:tc>
        <w:tc>
          <w:tcPr>
            <w:tcW w:w="170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Среднедневная единичная выработка, руб. (</w:t>
            </w:r>
            <w:hyperlink w:anchor="P3833">
              <w:r>
                <w:rPr>
                  <w:rStyle w:val="Hyperlink"/>
                  <w:rFonts w:ascii="Times New Roman" w:hAnsi="Times New Roman"/>
                </w:rPr>
                <w:t>гр. 3</w:t>
              </w:r>
            </w:hyperlink>
            <w:r>
              <w:rPr>
                <w:rFonts w:cs="Times New Roman" w:ascii="Times New Roman" w:hAnsi="Times New Roman"/>
              </w:rPr>
              <w:t xml:space="preserve"> x (1 + </w:t>
            </w:r>
            <w:hyperlink w:anchor="P3835">
              <w:r>
                <w:rPr>
                  <w:rStyle w:val="Hyperlink"/>
                  <w:rFonts w:ascii="Times New Roman" w:hAnsi="Times New Roman"/>
                </w:rPr>
                <w:t>гр. 5</w:t>
              </w:r>
            </w:hyperlink>
            <w:r>
              <w:rPr>
                <w:rFonts w:cs="Times New Roman" w:ascii="Times New Roman" w:hAnsi="Times New Roman"/>
              </w:rPr>
              <w:t xml:space="preserve">)) / </w:t>
            </w:r>
            <w:hyperlink w:anchor="P3834">
              <w:r>
                <w:rPr>
                  <w:rStyle w:val="Hyperlink"/>
                  <w:rFonts w:ascii="Times New Roman" w:hAnsi="Times New Roman"/>
                </w:rPr>
                <w:t>гр. 4</w:t>
              </w:r>
            </w:hyperlink>
          </w:p>
        </w:tc>
        <w:tc>
          <w:tcPr>
            <w:tcW w:w="141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Продолжи-тельность разработки (дни)</w:t>
            </w:r>
          </w:p>
        </w:tc>
        <w:tc>
          <w:tcPr>
            <w:tcW w:w="170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Численность исполнителей (чел.)</w:t>
            </w:r>
          </w:p>
        </w:tc>
        <w:tc>
          <w:tcPr>
            <w:tcW w:w="16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Коэффициент квалификации (участия) </w:t>
            </w:r>
          </w:p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Ккв-уч</w:t>
            </w:r>
          </w:p>
        </w:tc>
        <w:tc>
          <w:tcPr>
            <w:tcW w:w="129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Стоимость работ, руб. </w:t>
            </w:r>
          </w:p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 = (</w:t>
            </w:r>
            <w:hyperlink w:anchor="P3836">
              <w:r>
                <w:rPr>
                  <w:rStyle w:val="Hyperlink"/>
                  <w:rFonts w:ascii="Times New Roman" w:hAnsi="Times New Roman"/>
                </w:rPr>
                <w:t>гр. 6</w:t>
              </w:r>
            </w:hyperlink>
            <w:r>
              <w:rPr>
                <w:rFonts w:cs="Times New Roman" w:ascii="Times New Roman" w:hAnsi="Times New Roman"/>
              </w:rPr>
              <w:t xml:space="preserve"> x </w:t>
            </w:r>
            <w:hyperlink w:anchor="P3837">
              <w:r>
                <w:rPr>
                  <w:rStyle w:val="Hyperlink"/>
                  <w:rFonts w:ascii="Times New Roman" w:hAnsi="Times New Roman"/>
                </w:rPr>
                <w:t>гр. 7</w:t>
              </w:r>
            </w:hyperlink>
            <w:r>
              <w:rPr>
                <w:rFonts w:cs="Times New Roman" w:ascii="Times New Roman" w:hAnsi="Times New Roman"/>
              </w:rPr>
              <w:t xml:space="preserve"> x </w:t>
            </w:r>
            <w:hyperlink w:anchor="P3838">
              <w:r>
                <w:rPr>
                  <w:rStyle w:val="Hyperlink"/>
                  <w:rFonts w:ascii="Times New Roman" w:hAnsi="Times New Roman"/>
                </w:rPr>
                <w:t>гр. 8</w:t>
              </w:r>
            </w:hyperlink>
            <w:r>
              <w:rPr>
                <w:rFonts w:cs="Times New Roman" w:ascii="Times New Roman" w:hAnsi="Times New Roman"/>
              </w:rPr>
              <w:t xml:space="preserve"> x </w:t>
            </w:r>
            <w:hyperlink w:anchor="P3839">
              <w:r>
                <w:rPr>
                  <w:rStyle w:val="Hyperlink"/>
                  <w:rFonts w:ascii="Times New Roman" w:hAnsi="Times New Roman"/>
                </w:rPr>
                <w:t>гр. 9</w:t>
              </w:r>
            </w:hyperlink>
            <w:r>
              <w:rPr>
                <w:rFonts w:cs="Times New Roman" w:ascii="Times New Roman" w:hAnsi="Times New Roman"/>
              </w:rPr>
              <w:t>)</w:t>
            </w:r>
          </w:p>
        </w:tc>
      </w:tr>
      <w:tr>
        <w:trPr/>
        <w:tc>
          <w:tcPr>
            <w:tcW w:w="169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hanging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</w:t>
            </w:r>
          </w:p>
        </w:tc>
        <w:tc>
          <w:tcPr>
            <w:tcW w:w="1700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hanging="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3</w:t>
            </w:r>
          </w:p>
        </w:tc>
        <w:tc>
          <w:tcPr>
            <w:tcW w:w="1844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4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6</w:t>
            </w:r>
          </w:p>
        </w:tc>
        <w:tc>
          <w:tcPr>
            <w:tcW w:w="1416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7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8</w:t>
            </w:r>
          </w:p>
        </w:tc>
        <w:tc>
          <w:tcPr>
            <w:tcW w:w="1604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9</w:t>
            </w:r>
          </w:p>
        </w:tc>
        <w:tc>
          <w:tcPr>
            <w:tcW w:w="1290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hanging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10</w:t>
            </w:r>
          </w:p>
        </w:tc>
      </w:tr>
      <w:tr>
        <w:trPr/>
        <w:tc>
          <w:tcPr>
            <w:tcW w:w="169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0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44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16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04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90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</w:tbl>
    <w:p>
      <w:pPr>
        <w:pStyle w:val="ConsPlusNormal1"/>
        <w:jc w:val="both"/>
        <w:rPr>
          <w:rFonts w:ascii="Times New Roman" w:hAnsi="Times New Roman" w:eastAsia="Calibri" w:cs="Times New Roman" w:eastAsiaTheme="minorHAnsi"/>
          <w:sz w:val="24"/>
          <w:szCs w:val="24"/>
        </w:rPr>
      </w:pPr>
      <w:r>
        <w:rPr>
          <w:rFonts w:eastAsia="Calibri" w:cs="Times New Roman" w:eastAsiaTheme="minorHAnsi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ind w:right="2947" w:hanging="0"/>
        <w:jc w:val="both"/>
        <w:rPr>
          <w:rFonts w:ascii="Times New Roman" w:hAnsi="Times New Roman" w:eastAsia="Calibri" w:eastAsiaTheme="minorHAnsi"/>
        </w:rPr>
      </w:pPr>
      <w:r>
        <w:rPr>
          <w:rFonts w:ascii="Times New Roman" w:hAnsi="Times New Roman"/>
        </w:rPr>
        <w:t>Руководитель</w:t>
      </w:r>
    </w:p>
    <w:p>
      <w:pPr>
        <w:pStyle w:val="Normal"/>
        <w:spacing w:lineRule="auto" w:line="240" w:before="0" w:after="0"/>
        <w:ind w:right="2947" w:hanging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проектной организации _______________________________________________________________________________</w:t>
      </w:r>
    </w:p>
    <w:p>
      <w:pPr>
        <w:pStyle w:val="Normal"/>
        <w:spacing w:lineRule="auto" w:line="240" w:before="0" w:after="0"/>
        <w:ind w:right="2947" w:hanging="0"/>
        <w:jc w:val="center"/>
        <w:rPr>
          <w:rFonts w:ascii="Times New Roman" w:hAnsi="Times New Roman"/>
          <w:i/>
          <w:i/>
          <w:iCs/>
        </w:rPr>
      </w:pPr>
      <w:r>
        <w:rPr>
          <w:rFonts w:ascii="Times New Roman" w:hAnsi="Times New Roman"/>
          <w:i/>
          <w:iCs/>
        </w:rPr>
        <w:t>[подпись (инициалы, фамилия)]</w:t>
      </w:r>
    </w:p>
    <w:p>
      <w:pPr>
        <w:pStyle w:val="Normal"/>
        <w:spacing w:lineRule="auto" w:line="240" w:before="0" w:after="0"/>
        <w:ind w:right="2947" w:hanging="0"/>
        <w:jc w:val="both"/>
        <w:rPr>
          <w:rFonts w:ascii="Times New Roman" w:hAnsi="Times New Roman"/>
          <w:i/>
          <w:i/>
          <w:iCs/>
        </w:rPr>
      </w:pPr>
      <w:r>
        <w:rPr>
          <w:rFonts w:ascii="Times New Roman" w:hAnsi="Times New Roman"/>
          <w:i/>
          <w:iCs/>
        </w:rPr>
      </w:r>
    </w:p>
    <w:p>
      <w:pPr>
        <w:pStyle w:val="Normal"/>
        <w:spacing w:lineRule="auto" w:line="240" w:before="0" w:after="0"/>
        <w:ind w:right="2947" w:hanging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Главный инженер</w:t>
      </w:r>
    </w:p>
    <w:p>
      <w:pPr>
        <w:pStyle w:val="Normal"/>
        <w:spacing w:lineRule="auto" w:line="240" w:before="0" w:after="0"/>
        <w:ind w:right="2947" w:hanging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проекта _______________________________________________________________________________________________</w:t>
      </w:r>
    </w:p>
    <w:p>
      <w:pPr>
        <w:pStyle w:val="Normal"/>
        <w:spacing w:lineRule="auto" w:line="240" w:before="0" w:after="0"/>
        <w:ind w:right="2947" w:hanging="0"/>
        <w:jc w:val="center"/>
        <w:rPr>
          <w:rFonts w:ascii="Times New Roman" w:hAnsi="Times New Roman"/>
          <w:i/>
          <w:i/>
          <w:iCs/>
        </w:rPr>
      </w:pPr>
      <w:r>
        <w:rPr>
          <w:rFonts w:ascii="Times New Roman" w:hAnsi="Times New Roman"/>
          <w:i/>
          <w:iCs/>
        </w:rPr>
        <w:t>[подпись (инициалы, фамилия)]</w:t>
      </w:r>
    </w:p>
    <w:p>
      <w:pPr>
        <w:pStyle w:val="Normal"/>
        <w:spacing w:lineRule="auto" w:line="240" w:before="0" w:after="0"/>
        <w:ind w:right="2947" w:hanging="0"/>
        <w:jc w:val="both"/>
        <w:rPr>
          <w:rFonts w:ascii="Times New Roman" w:hAnsi="Times New Roman"/>
          <w:i/>
          <w:i/>
          <w:iCs/>
        </w:rPr>
      </w:pPr>
      <w:r>
        <w:rPr>
          <w:rFonts w:ascii="Times New Roman" w:hAnsi="Times New Roman"/>
          <w:i/>
          <w:iCs/>
        </w:rPr>
      </w:r>
    </w:p>
    <w:p>
      <w:pPr>
        <w:sectPr>
          <w:footerReference w:type="default" r:id="rId16"/>
          <w:footerReference w:type="first" r:id="rId17"/>
          <w:footnotePr>
            <w:numFmt w:val="decimal"/>
            <w:numRestart w:val="eachPage"/>
          </w:footnotePr>
          <w:type w:val="nextPage"/>
          <w:pgSz w:orient="landscape" w:w="16838" w:h="11906"/>
          <w:pgMar w:left="1134" w:right="1134" w:gutter="0" w:header="0" w:top="1701" w:footer="709" w:bottom="851"/>
          <w:pgNumType w:fmt="decimal"/>
          <w:formProt w:val="false"/>
          <w:textDirection w:val="lrTb"/>
          <w:docGrid w:type="default" w:linePitch="299" w:charSpace="4096"/>
        </w:sectPr>
        <w:pStyle w:val="Normal"/>
        <w:spacing w:lineRule="auto" w:line="240" w:before="0" w:after="0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color w:val="FF0000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№4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пояснительной записке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по заполнению формы 3П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ind w:hanging="567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 __ к смете № __</w:t>
      </w:r>
    </w:p>
    <w:p>
      <w:pPr>
        <w:pStyle w:val="Normal"/>
        <w:spacing w:lineRule="auto" w:line="240" w:before="0" w:after="0"/>
        <w:ind w:hanging="567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Образец сметного расчета на командировочные расходы по работам, связанным с проектированием объекта (форма 4п)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</w:p>
    <w:tbl>
      <w:tblPr>
        <w:tblStyle w:val="ae"/>
        <w:tblW w:w="9913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504"/>
        <w:gridCol w:w="908"/>
        <w:gridCol w:w="1277"/>
        <w:gridCol w:w="1558"/>
        <w:gridCol w:w="1560"/>
        <w:gridCol w:w="1134"/>
        <w:gridCol w:w="992"/>
        <w:gridCol w:w="1134"/>
        <w:gridCol w:w="845"/>
      </w:tblGrid>
      <w:tr>
        <w:trPr/>
        <w:tc>
          <w:tcPr>
            <w:tcW w:w="50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kern w:val="0"/>
                <w:sz w:val="20"/>
                <w:szCs w:val="20"/>
                <w:lang w:val="ru-RU" w:bidi="ar-SA"/>
              </w:rPr>
              <w:t xml:space="preserve">№ </w:t>
            </w:r>
            <w:r>
              <w:rPr>
                <w:rFonts w:ascii="Times New Roman" w:hAnsi="Times New Roman"/>
                <w:b/>
                <w:kern w:val="0"/>
                <w:sz w:val="20"/>
                <w:szCs w:val="20"/>
                <w:lang w:val="ru-RU" w:bidi="ar-SA"/>
              </w:rPr>
              <w:t>п/п</w:t>
            </w:r>
          </w:p>
        </w:tc>
        <w:tc>
          <w:tcPr>
            <w:tcW w:w="90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kern w:val="0"/>
                <w:sz w:val="20"/>
                <w:szCs w:val="20"/>
                <w:lang w:val="ru-RU" w:bidi="ar-SA"/>
              </w:rPr>
              <w:t>Пункт назначения</w:t>
            </w:r>
          </w:p>
        </w:tc>
        <w:tc>
          <w:tcPr>
            <w:tcW w:w="127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kern w:val="0"/>
                <w:sz w:val="20"/>
                <w:szCs w:val="20"/>
                <w:lang w:val="ru-RU" w:bidi="ar-SA"/>
              </w:rPr>
              <w:t>Количество специалистов</w:t>
            </w:r>
          </w:p>
        </w:tc>
        <w:tc>
          <w:tcPr>
            <w:tcW w:w="155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kern w:val="0"/>
                <w:sz w:val="20"/>
                <w:szCs w:val="20"/>
                <w:lang w:val="ru-RU" w:bidi="ar-SA"/>
              </w:rPr>
              <w:t>Проезд к месту командировки (туда и обратно)</w:t>
            </w:r>
          </w:p>
        </w:tc>
        <w:tc>
          <w:tcPr>
            <w:tcW w:w="156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kern w:val="0"/>
                <w:sz w:val="20"/>
                <w:szCs w:val="20"/>
                <w:lang w:val="ru-RU" w:bidi="ar-SA"/>
              </w:rPr>
              <w:t xml:space="preserve">Проживание в номере гостиницы класса *3 звезды*, 1чел/сутки </w:t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kern w:val="0"/>
                <w:sz w:val="20"/>
                <w:szCs w:val="20"/>
                <w:lang w:val="ru-RU" w:bidi="ar-SA"/>
              </w:rPr>
              <w:t>Суточные 1 сутки/руб.</w:t>
            </w:r>
          </w:p>
        </w:tc>
        <w:tc>
          <w:tcPr>
            <w:tcW w:w="99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kern w:val="0"/>
                <w:sz w:val="20"/>
                <w:szCs w:val="20"/>
                <w:lang w:val="ru-RU" w:bidi="ar-SA"/>
              </w:rPr>
              <w:t>Продолжительность командировки, сутки</w:t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kern w:val="0"/>
                <w:sz w:val="20"/>
                <w:szCs w:val="20"/>
                <w:lang w:val="ru-RU" w:bidi="ar-SA"/>
              </w:rPr>
              <w:t>Продолжительность проживания в гостиницу, сутки</w:t>
            </w:r>
          </w:p>
        </w:tc>
        <w:tc>
          <w:tcPr>
            <w:tcW w:w="84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kern w:val="0"/>
                <w:sz w:val="20"/>
                <w:szCs w:val="20"/>
                <w:lang w:val="ru-RU" w:bidi="ar-SA"/>
              </w:rPr>
              <w:t>Итого затарт, рубли</w:t>
            </w:r>
          </w:p>
        </w:tc>
      </w:tr>
      <w:tr>
        <w:trPr/>
        <w:tc>
          <w:tcPr>
            <w:tcW w:w="50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kern w:val="0"/>
                <w:sz w:val="20"/>
                <w:szCs w:val="20"/>
                <w:lang w:val="ru-RU" w:bidi="ar-SA"/>
              </w:rPr>
              <w:t>1</w:t>
            </w:r>
          </w:p>
        </w:tc>
        <w:tc>
          <w:tcPr>
            <w:tcW w:w="90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kern w:val="0"/>
                <w:sz w:val="20"/>
                <w:szCs w:val="20"/>
                <w:lang w:val="ru-RU" w:bidi="ar-SA"/>
              </w:rPr>
              <w:t>2</w:t>
            </w:r>
          </w:p>
        </w:tc>
        <w:tc>
          <w:tcPr>
            <w:tcW w:w="127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kern w:val="0"/>
                <w:sz w:val="20"/>
                <w:szCs w:val="20"/>
                <w:lang w:val="ru-RU" w:bidi="ar-SA"/>
              </w:rPr>
              <w:t>3</w:t>
            </w:r>
          </w:p>
        </w:tc>
        <w:tc>
          <w:tcPr>
            <w:tcW w:w="155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kern w:val="0"/>
                <w:sz w:val="20"/>
                <w:szCs w:val="20"/>
                <w:lang w:val="ru-RU" w:bidi="ar-SA"/>
              </w:rPr>
              <w:t>4</w:t>
            </w:r>
          </w:p>
        </w:tc>
        <w:tc>
          <w:tcPr>
            <w:tcW w:w="156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kern w:val="0"/>
                <w:sz w:val="20"/>
                <w:szCs w:val="20"/>
                <w:lang w:val="ru-RU" w:bidi="ar-SA"/>
              </w:rPr>
              <w:t>5</w:t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kern w:val="0"/>
                <w:sz w:val="20"/>
                <w:szCs w:val="20"/>
                <w:lang w:val="ru-RU" w:bidi="ar-SA"/>
              </w:rPr>
              <w:t>6</w:t>
            </w:r>
          </w:p>
        </w:tc>
        <w:tc>
          <w:tcPr>
            <w:tcW w:w="99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kern w:val="0"/>
                <w:sz w:val="20"/>
                <w:szCs w:val="20"/>
                <w:lang w:val="ru-RU" w:bidi="ar-SA"/>
              </w:rPr>
              <w:t>7</w:t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kern w:val="0"/>
                <w:sz w:val="20"/>
                <w:szCs w:val="20"/>
                <w:lang w:val="ru-RU" w:bidi="ar-SA"/>
              </w:rPr>
              <w:t>8</w:t>
            </w:r>
          </w:p>
        </w:tc>
        <w:tc>
          <w:tcPr>
            <w:tcW w:w="84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kern w:val="0"/>
                <w:sz w:val="20"/>
                <w:szCs w:val="20"/>
                <w:lang w:val="ru-RU" w:bidi="ar-SA"/>
              </w:rPr>
              <w:t>9</w:t>
            </w:r>
          </w:p>
        </w:tc>
      </w:tr>
      <w:tr>
        <w:trPr/>
        <w:tc>
          <w:tcPr>
            <w:tcW w:w="50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kern w:val="0"/>
                <w:sz w:val="20"/>
                <w:szCs w:val="20"/>
                <w:lang w:val="ru-RU" w:bidi="ar-SA"/>
              </w:rPr>
            </w:r>
          </w:p>
        </w:tc>
        <w:tc>
          <w:tcPr>
            <w:tcW w:w="90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kern w:val="0"/>
                <w:sz w:val="20"/>
                <w:szCs w:val="20"/>
                <w:lang w:val="ru-RU" w:bidi="ar-SA"/>
              </w:rPr>
            </w:r>
          </w:p>
        </w:tc>
        <w:tc>
          <w:tcPr>
            <w:tcW w:w="127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kern w:val="0"/>
                <w:sz w:val="20"/>
                <w:szCs w:val="20"/>
                <w:lang w:val="ru-RU" w:bidi="ar-SA"/>
              </w:rPr>
            </w:r>
          </w:p>
        </w:tc>
        <w:tc>
          <w:tcPr>
            <w:tcW w:w="155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kern w:val="0"/>
                <w:sz w:val="20"/>
                <w:szCs w:val="20"/>
                <w:lang w:val="ru-RU" w:bidi="ar-SA"/>
              </w:rPr>
            </w:r>
          </w:p>
        </w:tc>
        <w:tc>
          <w:tcPr>
            <w:tcW w:w="156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kern w:val="0"/>
                <w:sz w:val="20"/>
                <w:szCs w:val="20"/>
                <w:lang w:val="ru-RU" w:bidi="ar-SA"/>
              </w:rPr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kern w:val="0"/>
                <w:sz w:val="20"/>
                <w:szCs w:val="20"/>
                <w:lang w:val="ru-RU" w:bidi="ar-SA"/>
              </w:rPr>
            </w:r>
          </w:p>
        </w:tc>
        <w:tc>
          <w:tcPr>
            <w:tcW w:w="99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kern w:val="0"/>
                <w:sz w:val="20"/>
                <w:szCs w:val="20"/>
                <w:lang w:val="ru-RU" w:bidi="ar-SA"/>
              </w:rPr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kern w:val="0"/>
                <w:sz w:val="20"/>
                <w:szCs w:val="20"/>
                <w:lang w:val="ru-RU" w:bidi="ar-SA"/>
              </w:rPr>
            </w:r>
          </w:p>
        </w:tc>
        <w:tc>
          <w:tcPr>
            <w:tcW w:w="84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kern w:val="0"/>
                <w:sz w:val="20"/>
                <w:szCs w:val="20"/>
                <w:lang w:val="ru-RU" w:bidi="ar-SA"/>
              </w:rPr>
            </w:r>
          </w:p>
        </w:tc>
      </w:tr>
      <w:tr>
        <w:trPr/>
        <w:tc>
          <w:tcPr>
            <w:tcW w:w="50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kern w:val="0"/>
                <w:sz w:val="20"/>
                <w:szCs w:val="20"/>
                <w:lang w:val="ru-RU" w:bidi="ar-SA"/>
              </w:rPr>
            </w:r>
          </w:p>
        </w:tc>
        <w:tc>
          <w:tcPr>
            <w:tcW w:w="90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kern w:val="0"/>
                <w:sz w:val="20"/>
                <w:szCs w:val="20"/>
                <w:lang w:val="ru-RU" w:bidi="ar-SA"/>
              </w:rPr>
            </w:r>
          </w:p>
        </w:tc>
        <w:tc>
          <w:tcPr>
            <w:tcW w:w="127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kern w:val="0"/>
                <w:sz w:val="20"/>
                <w:szCs w:val="20"/>
                <w:lang w:val="ru-RU" w:bidi="ar-SA"/>
              </w:rPr>
            </w:r>
          </w:p>
        </w:tc>
        <w:tc>
          <w:tcPr>
            <w:tcW w:w="155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kern w:val="0"/>
                <w:sz w:val="20"/>
                <w:szCs w:val="20"/>
                <w:lang w:val="ru-RU" w:bidi="ar-SA"/>
              </w:rPr>
            </w:r>
          </w:p>
        </w:tc>
        <w:tc>
          <w:tcPr>
            <w:tcW w:w="156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kern w:val="0"/>
                <w:sz w:val="20"/>
                <w:szCs w:val="20"/>
                <w:lang w:val="ru-RU" w:bidi="ar-SA"/>
              </w:rPr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kern w:val="0"/>
                <w:sz w:val="20"/>
                <w:szCs w:val="20"/>
                <w:lang w:val="ru-RU" w:bidi="ar-SA"/>
              </w:rPr>
            </w:r>
          </w:p>
        </w:tc>
        <w:tc>
          <w:tcPr>
            <w:tcW w:w="99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kern w:val="0"/>
                <w:sz w:val="20"/>
                <w:szCs w:val="20"/>
                <w:lang w:val="ru-RU" w:bidi="ar-SA"/>
              </w:rPr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kern w:val="0"/>
                <w:sz w:val="20"/>
                <w:szCs w:val="20"/>
                <w:lang w:val="ru-RU" w:bidi="ar-SA"/>
              </w:rPr>
            </w:r>
          </w:p>
        </w:tc>
        <w:tc>
          <w:tcPr>
            <w:tcW w:w="84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kern w:val="0"/>
                <w:sz w:val="20"/>
                <w:szCs w:val="20"/>
                <w:lang w:val="ru-RU" w:bidi="ar-SA"/>
              </w:rPr>
            </w:r>
          </w:p>
        </w:tc>
      </w:tr>
      <w:tr>
        <w:trPr/>
        <w:tc>
          <w:tcPr>
            <w:tcW w:w="50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kern w:val="0"/>
                <w:sz w:val="20"/>
                <w:szCs w:val="20"/>
                <w:lang w:val="ru-RU" w:bidi="ar-SA"/>
              </w:rPr>
            </w:r>
          </w:p>
        </w:tc>
        <w:tc>
          <w:tcPr>
            <w:tcW w:w="90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kern w:val="0"/>
                <w:sz w:val="20"/>
                <w:szCs w:val="20"/>
                <w:lang w:val="ru-RU" w:bidi="ar-SA"/>
              </w:rPr>
            </w:r>
          </w:p>
        </w:tc>
        <w:tc>
          <w:tcPr>
            <w:tcW w:w="127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kern w:val="0"/>
                <w:sz w:val="20"/>
                <w:szCs w:val="20"/>
                <w:lang w:val="ru-RU" w:bidi="ar-SA"/>
              </w:rPr>
            </w:r>
          </w:p>
        </w:tc>
        <w:tc>
          <w:tcPr>
            <w:tcW w:w="155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kern w:val="0"/>
                <w:sz w:val="20"/>
                <w:szCs w:val="20"/>
                <w:lang w:val="ru-RU" w:bidi="ar-SA"/>
              </w:rPr>
            </w:r>
          </w:p>
        </w:tc>
        <w:tc>
          <w:tcPr>
            <w:tcW w:w="156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kern w:val="0"/>
                <w:sz w:val="20"/>
                <w:szCs w:val="20"/>
                <w:lang w:val="ru-RU" w:bidi="ar-SA"/>
              </w:rPr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kern w:val="0"/>
                <w:sz w:val="20"/>
                <w:szCs w:val="20"/>
                <w:lang w:val="ru-RU" w:bidi="ar-SA"/>
              </w:rPr>
            </w:r>
          </w:p>
        </w:tc>
        <w:tc>
          <w:tcPr>
            <w:tcW w:w="99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kern w:val="0"/>
                <w:sz w:val="20"/>
                <w:szCs w:val="20"/>
                <w:lang w:val="ru-RU" w:bidi="ar-SA"/>
              </w:rPr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kern w:val="0"/>
                <w:sz w:val="20"/>
                <w:szCs w:val="20"/>
                <w:lang w:val="ru-RU" w:bidi="ar-SA"/>
              </w:rPr>
            </w:r>
          </w:p>
        </w:tc>
        <w:tc>
          <w:tcPr>
            <w:tcW w:w="84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kern w:val="0"/>
                <w:sz w:val="20"/>
                <w:szCs w:val="20"/>
                <w:lang w:val="ru-RU" w:bidi="ar-SA"/>
              </w:rPr>
            </w:r>
          </w:p>
        </w:tc>
      </w:tr>
      <w:tr>
        <w:trPr/>
        <w:tc>
          <w:tcPr>
            <w:tcW w:w="50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kern w:val="0"/>
                <w:sz w:val="20"/>
                <w:szCs w:val="20"/>
                <w:lang w:val="ru-RU" w:bidi="ar-SA"/>
              </w:rPr>
            </w:r>
          </w:p>
        </w:tc>
        <w:tc>
          <w:tcPr>
            <w:tcW w:w="90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kern w:val="0"/>
                <w:sz w:val="20"/>
                <w:szCs w:val="20"/>
                <w:lang w:val="ru-RU" w:bidi="ar-SA"/>
              </w:rPr>
            </w:r>
          </w:p>
        </w:tc>
        <w:tc>
          <w:tcPr>
            <w:tcW w:w="127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kern w:val="0"/>
                <w:sz w:val="20"/>
                <w:szCs w:val="20"/>
                <w:lang w:val="ru-RU" w:bidi="ar-SA"/>
              </w:rPr>
            </w:r>
          </w:p>
        </w:tc>
        <w:tc>
          <w:tcPr>
            <w:tcW w:w="155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kern w:val="0"/>
                <w:sz w:val="20"/>
                <w:szCs w:val="20"/>
                <w:lang w:val="ru-RU" w:bidi="ar-SA"/>
              </w:rPr>
            </w:r>
          </w:p>
        </w:tc>
        <w:tc>
          <w:tcPr>
            <w:tcW w:w="156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kern w:val="0"/>
                <w:sz w:val="20"/>
                <w:szCs w:val="20"/>
                <w:lang w:val="ru-RU" w:bidi="ar-SA"/>
              </w:rPr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kern w:val="0"/>
                <w:sz w:val="20"/>
                <w:szCs w:val="20"/>
                <w:lang w:val="ru-RU" w:bidi="ar-SA"/>
              </w:rPr>
            </w:r>
          </w:p>
        </w:tc>
        <w:tc>
          <w:tcPr>
            <w:tcW w:w="99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kern w:val="0"/>
                <w:sz w:val="20"/>
                <w:szCs w:val="20"/>
                <w:lang w:val="ru-RU" w:bidi="ar-SA"/>
              </w:rPr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kern w:val="0"/>
                <w:sz w:val="20"/>
                <w:szCs w:val="20"/>
                <w:lang w:val="ru-RU" w:bidi="ar-SA"/>
              </w:rPr>
            </w:r>
          </w:p>
        </w:tc>
        <w:tc>
          <w:tcPr>
            <w:tcW w:w="84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kern w:val="0"/>
                <w:sz w:val="20"/>
                <w:szCs w:val="20"/>
                <w:lang w:val="ru-RU" w:bidi="ar-SA"/>
              </w:rPr>
            </w:r>
          </w:p>
        </w:tc>
      </w:tr>
      <w:tr>
        <w:trPr/>
        <w:tc>
          <w:tcPr>
            <w:tcW w:w="50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kern w:val="0"/>
                <w:sz w:val="20"/>
                <w:szCs w:val="20"/>
                <w:lang w:val="ru-RU" w:bidi="ar-SA"/>
              </w:rPr>
            </w:r>
          </w:p>
        </w:tc>
        <w:tc>
          <w:tcPr>
            <w:tcW w:w="90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kern w:val="0"/>
                <w:sz w:val="20"/>
                <w:szCs w:val="20"/>
                <w:lang w:val="ru-RU" w:bidi="ar-SA"/>
              </w:rPr>
            </w:r>
          </w:p>
        </w:tc>
        <w:tc>
          <w:tcPr>
            <w:tcW w:w="127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kern w:val="0"/>
                <w:sz w:val="20"/>
                <w:szCs w:val="20"/>
                <w:lang w:val="ru-RU" w:bidi="ar-SA"/>
              </w:rPr>
            </w:r>
          </w:p>
        </w:tc>
        <w:tc>
          <w:tcPr>
            <w:tcW w:w="155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kern w:val="0"/>
                <w:sz w:val="20"/>
                <w:szCs w:val="20"/>
                <w:lang w:val="ru-RU" w:bidi="ar-SA"/>
              </w:rPr>
            </w:r>
          </w:p>
        </w:tc>
        <w:tc>
          <w:tcPr>
            <w:tcW w:w="156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kern w:val="0"/>
                <w:sz w:val="20"/>
                <w:szCs w:val="20"/>
                <w:lang w:val="ru-RU" w:bidi="ar-SA"/>
              </w:rPr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kern w:val="0"/>
                <w:sz w:val="20"/>
                <w:szCs w:val="20"/>
                <w:lang w:val="ru-RU" w:bidi="ar-SA"/>
              </w:rPr>
            </w:r>
          </w:p>
        </w:tc>
        <w:tc>
          <w:tcPr>
            <w:tcW w:w="99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kern w:val="0"/>
                <w:sz w:val="20"/>
                <w:szCs w:val="20"/>
                <w:lang w:val="ru-RU" w:bidi="ar-SA"/>
              </w:rPr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kern w:val="0"/>
                <w:sz w:val="20"/>
                <w:szCs w:val="20"/>
                <w:lang w:val="ru-RU" w:bidi="ar-SA"/>
              </w:rPr>
            </w:r>
          </w:p>
        </w:tc>
        <w:tc>
          <w:tcPr>
            <w:tcW w:w="84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kern w:val="0"/>
                <w:sz w:val="20"/>
                <w:szCs w:val="20"/>
                <w:lang w:val="ru-RU" w:bidi="ar-SA"/>
              </w:rPr>
            </w:r>
          </w:p>
        </w:tc>
      </w:tr>
      <w:tr>
        <w:trPr/>
        <w:tc>
          <w:tcPr>
            <w:tcW w:w="50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kern w:val="0"/>
                <w:sz w:val="20"/>
                <w:szCs w:val="20"/>
                <w:lang w:val="ru-RU" w:bidi="ar-SA"/>
              </w:rPr>
            </w:r>
          </w:p>
        </w:tc>
        <w:tc>
          <w:tcPr>
            <w:tcW w:w="90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kern w:val="0"/>
                <w:sz w:val="20"/>
                <w:szCs w:val="20"/>
                <w:lang w:val="ru-RU" w:bidi="ar-SA"/>
              </w:rPr>
            </w:r>
          </w:p>
        </w:tc>
        <w:tc>
          <w:tcPr>
            <w:tcW w:w="127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kern w:val="0"/>
                <w:sz w:val="20"/>
                <w:szCs w:val="20"/>
                <w:lang w:val="ru-RU" w:bidi="ar-SA"/>
              </w:rPr>
            </w:r>
          </w:p>
        </w:tc>
        <w:tc>
          <w:tcPr>
            <w:tcW w:w="155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kern w:val="0"/>
                <w:sz w:val="20"/>
                <w:szCs w:val="20"/>
                <w:lang w:val="ru-RU" w:bidi="ar-SA"/>
              </w:rPr>
            </w:r>
          </w:p>
        </w:tc>
        <w:tc>
          <w:tcPr>
            <w:tcW w:w="156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kern w:val="0"/>
                <w:sz w:val="20"/>
                <w:szCs w:val="20"/>
                <w:lang w:val="ru-RU" w:bidi="ar-SA"/>
              </w:rPr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kern w:val="0"/>
                <w:sz w:val="20"/>
                <w:szCs w:val="20"/>
                <w:lang w:val="ru-RU" w:bidi="ar-SA"/>
              </w:rPr>
            </w:r>
          </w:p>
        </w:tc>
        <w:tc>
          <w:tcPr>
            <w:tcW w:w="99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kern w:val="0"/>
                <w:sz w:val="20"/>
                <w:szCs w:val="20"/>
                <w:lang w:val="ru-RU" w:bidi="ar-SA"/>
              </w:rPr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kern w:val="0"/>
                <w:sz w:val="20"/>
                <w:szCs w:val="20"/>
                <w:lang w:val="ru-RU" w:bidi="ar-SA"/>
              </w:rPr>
            </w:r>
          </w:p>
        </w:tc>
        <w:tc>
          <w:tcPr>
            <w:tcW w:w="84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kern w:val="0"/>
                <w:sz w:val="20"/>
                <w:szCs w:val="20"/>
                <w:lang w:val="ru-RU" w:bidi="ar-SA"/>
              </w:rPr>
            </w:r>
          </w:p>
        </w:tc>
      </w:tr>
    </w:tbl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pacing w:lineRule="auto" w:line="240" w:before="0" w:after="0"/>
        <w:ind w:hanging="567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ind w:hanging="567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 4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Требованиям к оформлению и составлению 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сметной документации на выполнение проектных работ</w:t>
      </w:r>
    </w:p>
    <w:tbl>
      <w:tblPr>
        <w:tblW w:w="5000" w:type="pct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8287"/>
        <w:gridCol w:w="222"/>
        <w:gridCol w:w="914"/>
        <w:gridCol w:w="187"/>
        <w:gridCol w:w="48"/>
        <w:gridCol w:w="265"/>
      </w:tblGrid>
      <w:tr>
        <w:trPr>
          <w:trHeight w:val="20" w:hRule="atLeast"/>
        </w:trPr>
        <w:tc>
          <w:tcPr>
            <w:tcW w:w="8287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bookmarkStart w:id="1" w:name="RANGE!A1%3AD25"/>
            <w:bookmarkStart w:id="2" w:name="RANGE!A1%3AD25"/>
            <w:bookmarkEnd w:id="2"/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                                                                                 </w:t>
            </w:r>
            <w:r>
              <w:rPr>
                <w:rFonts w:ascii="Times New Roman" w:hAnsi="Times New Roman"/>
              </w:rPr>
              <w:t xml:space="preserve">к Договору                                          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                                                                                                 </w:t>
            </w:r>
            <w:r>
              <w:rPr>
                <w:rFonts w:ascii="Times New Roman" w:hAnsi="Times New Roman"/>
              </w:rPr>
              <w:t>от___ ______202___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                                                                                     № </w:t>
            </w:r>
            <w:r>
              <w:rPr>
                <w:rFonts w:ascii="Times New Roman" w:hAnsi="Times New Roman"/>
              </w:rPr>
              <w:t xml:space="preserve">_________ 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СОГЛАСОВАНО:                                                                                   УТВЕРЖДЕНО:                                                                                                                                                                </w:t>
            </w:r>
          </w:p>
        </w:tc>
        <w:tc>
          <w:tcPr>
            <w:tcW w:w="222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</w:t>
            </w:r>
          </w:p>
        </w:tc>
        <w:tc>
          <w:tcPr>
            <w:tcW w:w="914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        </w:t>
            </w:r>
          </w:p>
        </w:tc>
        <w:tc>
          <w:tcPr>
            <w:tcW w:w="235" w:type="dxa"/>
            <w:gridSpan w:val="2"/>
            <w:tcBorders/>
            <w:shd w:color="auto" w:fill="FFFFFF" w:val="clear"/>
          </w:tcPr>
          <w:p>
            <w:pPr>
              <w:pStyle w:val="Normal"/>
              <w:widowControl w:val="false"/>
              <w:tabs>
                <w:tab w:val="clear" w:pos="708"/>
                <w:tab w:val="left" w:pos="627" w:leader="none"/>
              </w:tabs>
              <w:spacing w:lineRule="auto" w:line="240" w:before="0" w:after="0"/>
              <w:ind w:hanging="1332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65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70" w:hRule="atLeast"/>
        </w:trPr>
        <w:tc>
          <w:tcPr>
            <w:tcW w:w="8287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22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01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13" w:type="dxa"/>
            <w:gridSpan w:val="2"/>
            <w:tcBorders/>
            <w:shd w:color="auto" w:fill="FFFFFF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9423" w:type="dxa"/>
            <w:gridSpan w:val="3"/>
            <w:tcBorders/>
          </w:tcPr>
          <w:tbl>
            <w:tblPr>
              <w:tblW w:w="9300" w:type="dxa"/>
              <w:jc w:val="left"/>
              <w:tblInd w:w="0" w:type="dxa"/>
              <w:tblLayout w:type="fixed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000" w:noVBand="0" w:noHBand="0" w:lastColumn="0" w:firstColumn="0" w:lastRow="0" w:firstRow="0"/>
            </w:tblPr>
            <w:tblGrid>
              <w:gridCol w:w="533"/>
              <w:gridCol w:w="20"/>
              <w:gridCol w:w="581"/>
              <w:gridCol w:w="736"/>
              <w:gridCol w:w="176"/>
              <w:gridCol w:w="1138"/>
              <w:gridCol w:w="42"/>
              <w:gridCol w:w="299"/>
              <w:gridCol w:w="193"/>
              <w:gridCol w:w="1092"/>
              <w:gridCol w:w="102"/>
              <w:gridCol w:w="86"/>
              <w:gridCol w:w="735"/>
              <w:gridCol w:w="3195"/>
              <w:gridCol w:w="17"/>
              <w:gridCol w:w="247"/>
              <w:gridCol w:w="108"/>
            </w:tblGrid>
            <w:tr>
              <w:trPr/>
              <w:tc>
                <w:tcPr>
                  <w:tcW w:w="8945" w:type="dxa"/>
                  <w:gridSpan w:val="15"/>
                  <w:tcBorders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СВОДНАЯ СМЕТА №</w:t>
                  </w:r>
                </w:p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 xml:space="preserve">на проектные работы </w:t>
                  </w:r>
                </w:p>
              </w:tc>
              <w:tc>
                <w:tcPr>
                  <w:tcW w:w="247" w:type="dxa"/>
                  <w:tcBorders/>
                </w:tcPr>
                <w:p>
                  <w:pPr>
                    <w:pStyle w:val="Normal"/>
                    <w:widowControl w:val="false"/>
                    <w:spacing w:before="0" w:after="200"/>
                    <w:rPr/>
                  </w:pPr>
                  <w:r>
                    <w:rPr/>
                  </w:r>
                </w:p>
              </w:tc>
              <w:tc>
                <w:tcPr>
                  <w:tcW w:w="108" w:type="dxa"/>
                  <w:tcBorders/>
                </w:tcPr>
                <w:p>
                  <w:pPr>
                    <w:pStyle w:val="Normal"/>
                    <w:widowControl w:val="false"/>
                    <w:spacing w:before="0" w:after="200"/>
                    <w:rPr/>
                  </w:pPr>
                  <w:r>
                    <w:rPr/>
                  </w:r>
                </w:p>
              </w:tc>
            </w:tr>
            <w:tr>
              <w:trPr/>
              <w:tc>
                <w:tcPr>
                  <w:tcW w:w="533" w:type="dxa"/>
                  <w:tcBorders/>
                </w:tcPr>
                <w:p>
                  <w:pPr>
                    <w:pStyle w:val="ConsPlusNormal1"/>
                    <w:widowControl w:val="false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  <w:tc>
                <w:tcPr>
                  <w:tcW w:w="8412" w:type="dxa"/>
                  <w:gridSpan w:val="14"/>
                  <w:tcBorders>
                    <w:bottom w:val="single" w:sz="4" w:space="0" w:color="000000"/>
                  </w:tcBorders>
                </w:tcPr>
                <w:p>
                  <w:pPr>
                    <w:pStyle w:val="ConsPlusNormal1"/>
                    <w:widowControl w:val="false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  <w:tc>
                <w:tcPr>
                  <w:tcW w:w="247" w:type="dxa"/>
                  <w:tcBorders/>
                </w:tcPr>
                <w:p>
                  <w:pPr>
                    <w:pStyle w:val="Normal"/>
                    <w:widowControl w:val="false"/>
                    <w:spacing w:before="0" w:after="200"/>
                    <w:rPr/>
                  </w:pPr>
                  <w:r>
                    <w:rPr/>
                  </w:r>
                </w:p>
              </w:tc>
              <w:tc>
                <w:tcPr>
                  <w:tcW w:w="108" w:type="dxa"/>
                  <w:tcBorders/>
                </w:tcPr>
                <w:p>
                  <w:pPr>
                    <w:pStyle w:val="Normal"/>
                    <w:widowControl w:val="false"/>
                    <w:spacing w:before="0" w:after="200"/>
                    <w:rPr/>
                  </w:pPr>
                  <w:r>
                    <w:rPr/>
                  </w:r>
                </w:p>
              </w:tc>
            </w:tr>
            <w:tr>
              <w:trPr/>
              <w:tc>
                <w:tcPr>
                  <w:tcW w:w="533" w:type="dxa"/>
                  <w:tcBorders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  <w:tc>
                <w:tcPr>
                  <w:tcW w:w="8412" w:type="dxa"/>
                  <w:gridSpan w:val="14"/>
                  <w:tcBorders>
                    <w:top w:val="single" w:sz="4" w:space="0" w:color="000000"/>
                  </w:tcBorders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(наименование стройки)</w:t>
                  </w:r>
                </w:p>
              </w:tc>
              <w:tc>
                <w:tcPr>
                  <w:tcW w:w="247" w:type="dxa"/>
                  <w:tcBorders/>
                </w:tcPr>
                <w:p>
                  <w:pPr>
                    <w:pStyle w:val="Normal"/>
                    <w:widowControl w:val="false"/>
                    <w:spacing w:before="0" w:after="200"/>
                    <w:rPr/>
                  </w:pPr>
                  <w:r>
                    <w:rPr/>
                  </w:r>
                </w:p>
              </w:tc>
              <w:tc>
                <w:tcPr>
                  <w:tcW w:w="108" w:type="dxa"/>
                  <w:tcBorders/>
                </w:tcPr>
                <w:p>
                  <w:pPr>
                    <w:pStyle w:val="Normal"/>
                    <w:widowControl w:val="false"/>
                    <w:spacing w:before="0" w:after="200"/>
                    <w:rPr/>
                  </w:pPr>
                  <w:r>
                    <w:rPr/>
                  </w:r>
                </w:p>
              </w:tc>
            </w:tr>
            <w:tr>
              <w:trPr/>
              <w:tc>
                <w:tcPr>
                  <w:tcW w:w="533" w:type="dxa"/>
                  <w:tcBorders/>
                </w:tcPr>
                <w:p>
                  <w:pPr>
                    <w:pStyle w:val="ConsPlusNormal1"/>
                    <w:widowControl w:val="false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  <w:tc>
                <w:tcPr>
                  <w:tcW w:w="1337" w:type="dxa"/>
                  <w:gridSpan w:val="3"/>
                  <w:tcBorders/>
                </w:tcPr>
                <w:p>
                  <w:pPr>
                    <w:pStyle w:val="ConsPlusNormal1"/>
                    <w:widowControl w:val="false"/>
                    <w:ind w:firstLine="3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Заказчик</w:t>
                  </w:r>
                </w:p>
              </w:tc>
              <w:tc>
                <w:tcPr>
                  <w:tcW w:w="7322" w:type="dxa"/>
                  <w:gridSpan w:val="12"/>
                  <w:tcBorders>
                    <w:bottom w:val="single" w:sz="4" w:space="0" w:color="000000"/>
                  </w:tcBorders>
                </w:tcPr>
                <w:p>
                  <w:pPr>
                    <w:pStyle w:val="ConsPlusNormal1"/>
                    <w:widowControl w:val="false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  <w:tc>
                <w:tcPr>
                  <w:tcW w:w="108" w:type="dxa"/>
                  <w:tcBorders/>
                </w:tcPr>
                <w:p>
                  <w:pPr>
                    <w:pStyle w:val="Normal"/>
                    <w:widowControl w:val="false"/>
                    <w:spacing w:before="0" w:after="200"/>
                    <w:rPr/>
                  </w:pPr>
                  <w:r>
                    <w:rPr/>
                  </w:r>
                </w:p>
              </w:tc>
            </w:tr>
            <w:tr>
              <w:trPr/>
              <w:tc>
                <w:tcPr>
                  <w:tcW w:w="533" w:type="dxa"/>
                  <w:tcBorders/>
                </w:tcPr>
                <w:p>
                  <w:pPr>
                    <w:pStyle w:val="ConsPlusNormal1"/>
                    <w:widowControl w:val="false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  <w:tc>
                <w:tcPr>
                  <w:tcW w:w="1337" w:type="dxa"/>
                  <w:gridSpan w:val="3"/>
                  <w:tcBorders/>
                </w:tcPr>
                <w:p>
                  <w:pPr>
                    <w:pStyle w:val="ConsPlusNormal1"/>
                    <w:widowControl w:val="false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  <w:tc>
                <w:tcPr>
                  <w:tcW w:w="7322" w:type="dxa"/>
                  <w:gridSpan w:val="12"/>
                  <w:tcBorders>
                    <w:top w:val="single" w:sz="4" w:space="0" w:color="000000"/>
                  </w:tcBorders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(наименование организации)</w:t>
                  </w:r>
                </w:p>
              </w:tc>
              <w:tc>
                <w:tcPr>
                  <w:tcW w:w="108" w:type="dxa"/>
                  <w:tcBorders/>
                </w:tcPr>
                <w:p>
                  <w:pPr>
                    <w:pStyle w:val="Normal"/>
                    <w:widowControl w:val="false"/>
                    <w:spacing w:before="0" w:after="200"/>
                    <w:rPr/>
                  </w:pPr>
                  <w:r>
                    <w:rPr/>
                  </w:r>
                </w:p>
              </w:tc>
            </w:tr>
            <w:tr>
              <w:trPr/>
              <w:tc>
                <w:tcPr>
                  <w:tcW w:w="533" w:type="dxa"/>
                  <w:tcBorders/>
                  <w:vAlign w:val="bottom"/>
                </w:tcPr>
                <w:p>
                  <w:pPr>
                    <w:pStyle w:val="ConsPlusNormal1"/>
                    <w:widowControl w:val="false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  <w:tc>
                <w:tcPr>
                  <w:tcW w:w="3185" w:type="dxa"/>
                  <w:gridSpan w:val="8"/>
                  <w:tcBorders/>
                </w:tcPr>
                <w:p>
                  <w:pPr>
                    <w:pStyle w:val="ConsPlusNormal1"/>
                    <w:widowControl w:val="false"/>
                    <w:ind w:hanging="0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Изыскательская организация</w:t>
                  </w:r>
                </w:p>
              </w:tc>
              <w:tc>
                <w:tcPr>
                  <w:tcW w:w="5474" w:type="dxa"/>
                  <w:gridSpan w:val="7"/>
                  <w:tcBorders>
                    <w:bottom w:val="single" w:sz="4" w:space="0" w:color="000000"/>
                  </w:tcBorders>
                </w:tcPr>
                <w:p>
                  <w:pPr>
                    <w:pStyle w:val="ConsPlusNormal1"/>
                    <w:widowControl w:val="false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  <w:tc>
                <w:tcPr>
                  <w:tcW w:w="108" w:type="dxa"/>
                  <w:tcBorders/>
                </w:tcPr>
                <w:p>
                  <w:pPr>
                    <w:pStyle w:val="Normal"/>
                    <w:widowControl w:val="false"/>
                    <w:spacing w:before="0" w:after="200"/>
                    <w:rPr/>
                  </w:pPr>
                  <w:r>
                    <w:rPr/>
                  </w:r>
                </w:p>
              </w:tc>
            </w:tr>
            <w:tr>
              <w:trPr/>
              <w:tc>
                <w:tcPr>
                  <w:tcW w:w="533" w:type="dxa"/>
                  <w:tcBorders/>
                </w:tcPr>
                <w:p>
                  <w:pPr>
                    <w:pStyle w:val="ConsPlusNormal1"/>
                    <w:widowControl w:val="false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  <w:tc>
                <w:tcPr>
                  <w:tcW w:w="8659" w:type="dxa"/>
                  <w:gridSpan w:val="15"/>
                  <w:tcBorders>
                    <w:bottom w:val="single" w:sz="4" w:space="0" w:color="000000"/>
                  </w:tcBorders>
                </w:tcPr>
                <w:p>
                  <w:pPr>
                    <w:pStyle w:val="ConsPlusNormal1"/>
                    <w:widowControl w:val="false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  <w:tc>
                <w:tcPr>
                  <w:tcW w:w="108" w:type="dxa"/>
                  <w:tcBorders/>
                </w:tcPr>
                <w:p>
                  <w:pPr>
                    <w:pStyle w:val="Normal"/>
                    <w:widowControl w:val="false"/>
                    <w:spacing w:before="0" w:after="200"/>
                    <w:rPr/>
                  </w:pPr>
                  <w:r>
                    <w:rPr/>
                  </w:r>
                </w:p>
              </w:tc>
            </w:tr>
            <w:tr>
              <w:trPr/>
              <w:tc>
                <w:tcPr>
                  <w:tcW w:w="533" w:type="dxa"/>
                  <w:tcBorders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  <w:tc>
                <w:tcPr>
                  <w:tcW w:w="8659" w:type="dxa"/>
                  <w:gridSpan w:val="15"/>
                  <w:tcBorders>
                    <w:top w:val="single" w:sz="4" w:space="0" w:color="000000"/>
                    <w:bottom w:val="single" w:sz="4" w:space="0" w:color="000000"/>
                  </w:tcBorders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(наименование организации)</w:t>
                  </w:r>
                </w:p>
              </w:tc>
              <w:tc>
                <w:tcPr>
                  <w:tcW w:w="108" w:type="dxa"/>
                  <w:tcBorders/>
                </w:tcPr>
                <w:p>
                  <w:pPr>
                    <w:pStyle w:val="Normal"/>
                    <w:widowControl w:val="false"/>
                    <w:spacing w:before="0" w:after="200"/>
                    <w:rPr/>
                  </w:pPr>
                  <w:r>
                    <w:rPr/>
                  </w:r>
                </w:p>
              </w:tc>
            </w:tr>
            <w:tr>
              <w:trPr/>
              <w:tc>
                <w:tcPr>
                  <w:tcW w:w="533" w:type="dxa"/>
                  <w:tcBorders/>
                  <w:vAlign w:val="bottom"/>
                </w:tcPr>
                <w:p>
                  <w:pPr>
                    <w:pStyle w:val="ConsPlusNormal1"/>
                    <w:widowControl w:val="false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  <w:tc>
                <w:tcPr>
                  <w:tcW w:w="2693" w:type="dxa"/>
                  <w:gridSpan w:val="6"/>
                  <w:tcBorders>
                    <w:top w:val="single" w:sz="4" w:space="0" w:color="000000"/>
                  </w:tcBorders>
                </w:tcPr>
                <w:p>
                  <w:pPr>
                    <w:pStyle w:val="ConsPlusNormal1"/>
                    <w:widowControl w:val="false"/>
                    <w:ind w:hanging="0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Проектная организация</w:t>
                  </w:r>
                </w:p>
              </w:tc>
              <w:tc>
                <w:tcPr>
                  <w:tcW w:w="5966" w:type="dxa"/>
                  <w:gridSpan w:val="9"/>
                  <w:tcBorders>
                    <w:top w:val="single" w:sz="4" w:space="0" w:color="000000"/>
                    <w:bottom w:val="single" w:sz="4" w:space="0" w:color="000000"/>
                  </w:tcBorders>
                </w:tcPr>
                <w:p>
                  <w:pPr>
                    <w:pStyle w:val="ConsPlusNormal1"/>
                    <w:widowControl w:val="false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  <w:tc>
                <w:tcPr>
                  <w:tcW w:w="108" w:type="dxa"/>
                  <w:tcBorders/>
                </w:tcPr>
                <w:p>
                  <w:pPr>
                    <w:pStyle w:val="Normal"/>
                    <w:widowControl w:val="false"/>
                    <w:spacing w:before="0" w:after="200"/>
                    <w:rPr/>
                  </w:pPr>
                  <w:r>
                    <w:rPr/>
                  </w:r>
                </w:p>
              </w:tc>
            </w:tr>
            <w:tr>
              <w:trPr/>
              <w:tc>
                <w:tcPr>
                  <w:tcW w:w="533" w:type="dxa"/>
                  <w:tcBorders/>
                </w:tcPr>
                <w:p>
                  <w:pPr>
                    <w:pStyle w:val="ConsPlusNormal1"/>
                    <w:widowControl w:val="false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  <w:tc>
                <w:tcPr>
                  <w:tcW w:w="8659" w:type="dxa"/>
                  <w:gridSpan w:val="15"/>
                  <w:tcBorders>
                    <w:bottom w:val="single" w:sz="4" w:space="0" w:color="000000"/>
                  </w:tcBorders>
                </w:tcPr>
                <w:p>
                  <w:pPr>
                    <w:pStyle w:val="ConsPlusNormal1"/>
                    <w:widowControl w:val="false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  <w:tc>
                <w:tcPr>
                  <w:tcW w:w="108" w:type="dxa"/>
                  <w:tcBorders/>
                </w:tcPr>
                <w:p>
                  <w:pPr>
                    <w:pStyle w:val="Normal"/>
                    <w:widowControl w:val="false"/>
                    <w:spacing w:before="0" w:after="200"/>
                    <w:rPr/>
                  </w:pPr>
                  <w:r>
                    <w:rPr/>
                  </w:r>
                </w:p>
              </w:tc>
            </w:tr>
            <w:tr>
              <w:trPr>
                <w:trHeight w:val="352" w:hRule="atLeast"/>
              </w:trPr>
              <w:tc>
                <w:tcPr>
                  <w:tcW w:w="533" w:type="dxa"/>
                  <w:tcBorders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  <w:tc>
                <w:tcPr>
                  <w:tcW w:w="8659" w:type="dxa"/>
                  <w:gridSpan w:val="15"/>
                  <w:tcBorders>
                    <w:top w:val="single" w:sz="4" w:space="0" w:color="000000"/>
                  </w:tcBorders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(наименование организации)</w:t>
                  </w:r>
                </w:p>
              </w:tc>
              <w:tc>
                <w:tcPr>
                  <w:tcW w:w="108" w:type="dxa"/>
                  <w:tcBorders/>
                </w:tcPr>
                <w:p>
                  <w:pPr>
                    <w:pStyle w:val="Normal"/>
                    <w:widowControl w:val="false"/>
                    <w:spacing w:before="0" w:after="200"/>
                    <w:rPr/>
                  </w:pPr>
                  <w:r>
                    <w:rPr/>
                  </w:r>
                </w:p>
              </w:tc>
            </w:tr>
            <w:tr>
              <w:trPr/>
              <w:tc>
                <w:tcPr>
                  <w:tcW w:w="553" w:type="dxa"/>
                  <w:gridSpan w:val="2"/>
                  <w:tcBorders/>
                </w:tcPr>
                <w:p>
                  <w:pPr>
                    <w:pStyle w:val="ConsPlusNormal1"/>
                    <w:widowControl w:val="false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  <w:tc>
                <w:tcPr>
                  <w:tcW w:w="8375" w:type="dxa"/>
                  <w:gridSpan w:val="12"/>
                  <w:tcBorders/>
                </w:tcPr>
                <w:p>
                  <w:pPr>
                    <w:pStyle w:val="ConsPlusNormal1"/>
                    <w:widowControl w:val="false"/>
                    <w:ind w:hanging="0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Составлена в уровне цен на ________________ 20__ г.</w:t>
                  </w:r>
                </w:p>
              </w:tc>
              <w:tc>
                <w:tcPr>
                  <w:tcW w:w="17" w:type="dxa"/>
                  <w:tcBorders/>
                </w:tcPr>
                <w:p>
                  <w:pPr>
                    <w:pStyle w:val="Normal"/>
                    <w:widowControl w:val="false"/>
                    <w:spacing w:before="0" w:after="200"/>
                    <w:rPr/>
                  </w:pPr>
                  <w:r>
                    <w:rPr/>
                  </w:r>
                </w:p>
              </w:tc>
              <w:tc>
                <w:tcPr>
                  <w:tcW w:w="247" w:type="dxa"/>
                  <w:tcBorders/>
                </w:tcPr>
                <w:p>
                  <w:pPr>
                    <w:pStyle w:val="Normal"/>
                    <w:widowControl w:val="false"/>
                    <w:spacing w:before="0" w:after="200"/>
                    <w:rPr/>
                  </w:pPr>
                  <w:r>
                    <w:rPr/>
                  </w:r>
                </w:p>
              </w:tc>
              <w:tc>
                <w:tcPr>
                  <w:tcW w:w="108" w:type="dxa"/>
                  <w:tcBorders/>
                </w:tcPr>
                <w:p>
                  <w:pPr>
                    <w:pStyle w:val="Normal"/>
                    <w:widowControl w:val="false"/>
                    <w:spacing w:before="0" w:after="200"/>
                    <w:rPr/>
                  </w:pPr>
                  <w:r>
                    <w:rPr/>
                  </w:r>
                </w:p>
              </w:tc>
            </w:tr>
            <w:tr>
              <w:trPr>
                <w:trHeight w:val="345" w:hRule="atLeast"/>
              </w:trPr>
              <w:tc>
                <w:tcPr>
                  <w:tcW w:w="1134" w:type="dxa"/>
                  <w:gridSpan w:val="3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ConsPlusNormal1"/>
                    <w:widowControl w:val="false"/>
                    <w:ind w:hanging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N№ п/п</w:t>
                  </w:r>
                </w:p>
              </w:tc>
              <w:tc>
                <w:tcPr>
                  <w:tcW w:w="2050" w:type="dxa"/>
                  <w:gridSpan w:val="3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ConsPlusNormal1"/>
                    <w:widowControl w:val="false"/>
                    <w:ind w:hanging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 xml:space="preserve">Наименование смет на проектные работы </w:t>
                  </w:r>
                </w:p>
              </w:tc>
              <w:tc>
                <w:tcPr>
                  <w:tcW w:w="1728" w:type="dxa"/>
                  <w:gridSpan w:val="5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ConsPlusNormal1"/>
                    <w:widowControl w:val="false"/>
                    <w:ind w:hanging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Обоснование</w:t>
                  </w:r>
                </w:p>
              </w:tc>
              <w:tc>
                <w:tcPr>
                  <w:tcW w:w="4388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ConsPlusNormal1"/>
                    <w:widowControl w:val="false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Сметная стоимость, руб.</w:t>
                  </w:r>
                </w:p>
              </w:tc>
            </w:tr>
            <w:tr>
              <w:trPr>
                <w:trHeight w:val="74" w:hRule="atLeast"/>
              </w:trPr>
              <w:tc>
                <w:tcPr>
                  <w:tcW w:w="1134" w:type="dxa"/>
                  <w:gridSpan w:val="3"/>
                  <w:vMerge w:val="continue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2050" w:type="dxa"/>
                  <w:gridSpan w:val="3"/>
                  <w:vMerge w:val="continue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1728" w:type="dxa"/>
                  <w:gridSpan w:val="5"/>
                  <w:vMerge w:val="continue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4388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ConsPlusNormal1"/>
                    <w:widowControl w:val="false"/>
                    <w:ind w:hanging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проектных работ</w:t>
                  </w:r>
                </w:p>
              </w:tc>
            </w:tr>
            <w:tr>
              <w:trPr/>
              <w:tc>
                <w:tcPr>
                  <w:tcW w:w="1134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1</w:t>
                  </w:r>
                </w:p>
              </w:tc>
              <w:tc>
                <w:tcPr>
                  <w:tcW w:w="205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ConsPlusNormal1"/>
                    <w:widowControl w:val="false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2</w:t>
                  </w:r>
                </w:p>
              </w:tc>
              <w:tc>
                <w:tcPr>
                  <w:tcW w:w="1728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ConsPlusNormal1"/>
                    <w:widowControl w:val="false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3</w:t>
                  </w:r>
                </w:p>
              </w:tc>
              <w:tc>
                <w:tcPr>
                  <w:tcW w:w="4388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4</w:t>
                  </w:r>
                </w:p>
              </w:tc>
            </w:tr>
            <w:tr>
              <w:trPr>
                <w:trHeight w:val="281" w:hRule="atLeast"/>
              </w:trPr>
              <w:tc>
                <w:tcPr>
                  <w:tcW w:w="1134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I</w:t>
                  </w:r>
                </w:p>
              </w:tc>
              <w:tc>
                <w:tcPr>
                  <w:tcW w:w="205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>
                  <w:pPr>
                    <w:pStyle w:val="ConsPlusNormal1"/>
                    <w:widowControl w:val="false"/>
                    <w:ind w:hanging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Проектная документация</w:t>
                  </w:r>
                </w:p>
              </w:tc>
              <w:tc>
                <w:tcPr>
                  <w:tcW w:w="1728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  <w:tc>
                <w:tcPr>
                  <w:tcW w:w="4388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</w:tr>
            <w:tr>
              <w:trPr/>
              <w:tc>
                <w:tcPr>
                  <w:tcW w:w="1134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  <w:tc>
                <w:tcPr>
                  <w:tcW w:w="205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>
                  <w:pPr>
                    <w:pStyle w:val="ConsPlusNormal1"/>
                    <w:widowControl w:val="false"/>
                    <w:ind w:hanging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Наименование сметы на проектные работы</w:t>
                  </w:r>
                </w:p>
              </w:tc>
              <w:tc>
                <w:tcPr>
                  <w:tcW w:w="1728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  <w:tc>
                <w:tcPr>
                  <w:tcW w:w="4388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&lt;X&gt;</w:t>
                  </w:r>
                </w:p>
              </w:tc>
            </w:tr>
            <w:tr>
              <w:trPr>
                <w:trHeight w:val="323" w:hRule="atLeast"/>
              </w:trPr>
              <w:tc>
                <w:tcPr>
                  <w:tcW w:w="1134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II</w:t>
                  </w:r>
                </w:p>
              </w:tc>
              <w:tc>
                <w:tcPr>
                  <w:tcW w:w="205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>
                  <w:pPr>
                    <w:pStyle w:val="ConsPlusNormal1"/>
                    <w:widowControl w:val="false"/>
                    <w:ind w:hanging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Рабочая документация</w:t>
                  </w:r>
                </w:p>
              </w:tc>
              <w:tc>
                <w:tcPr>
                  <w:tcW w:w="1728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  <w:tc>
                <w:tcPr>
                  <w:tcW w:w="4388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</w:tr>
            <w:tr>
              <w:trPr/>
              <w:tc>
                <w:tcPr>
                  <w:tcW w:w="1134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  <w:tc>
                <w:tcPr>
                  <w:tcW w:w="205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>
                  <w:pPr>
                    <w:pStyle w:val="ConsPlusNormal1"/>
                    <w:widowControl w:val="false"/>
                    <w:ind w:hanging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Наименование сметы на проектные работы</w:t>
                  </w:r>
                </w:p>
              </w:tc>
              <w:tc>
                <w:tcPr>
                  <w:tcW w:w="1728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  <w:tc>
                <w:tcPr>
                  <w:tcW w:w="4388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&lt;X&gt;</w:t>
                  </w:r>
                </w:p>
              </w:tc>
            </w:tr>
            <w:tr>
              <w:trPr/>
              <w:tc>
                <w:tcPr>
                  <w:tcW w:w="1134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  <w:tc>
                <w:tcPr>
                  <w:tcW w:w="205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>
                  <w:pPr>
                    <w:pStyle w:val="ConsPlusNormal1"/>
                    <w:widowControl w:val="false"/>
                    <w:ind w:hanging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Итого по видам работ</w:t>
                  </w:r>
                </w:p>
              </w:tc>
              <w:tc>
                <w:tcPr>
                  <w:tcW w:w="1728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  <w:tc>
                <w:tcPr>
                  <w:tcW w:w="4388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&lt;X&gt;</w:t>
                  </w:r>
                </w:p>
              </w:tc>
            </w:tr>
            <w:tr>
              <w:trPr/>
              <w:tc>
                <w:tcPr>
                  <w:tcW w:w="1134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  <w:tc>
                <w:tcPr>
                  <w:tcW w:w="205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ВСЕГО</w:t>
                  </w:r>
                </w:p>
              </w:tc>
              <w:tc>
                <w:tcPr>
                  <w:tcW w:w="1728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  <w:tc>
                <w:tcPr>
                  <w:tcW w:w="4388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&lt;X&gt;</w:t>
                  </w:r>
                </w:p>
              </w:tc>
            </w:tr>
            <w:tr>
              <w:trPr>
                <w:trHeight w:val="466" w:hRule="atLeast"/>
              </w:trPr>
              <w:tc>
                <w:tcPr>
                  <w:tcW w:w="3525" w:type="dxa"/>
                  <w:gridSpan w:val="8"/>
                  <w:tcBorders>
                    <w:top w:val="single" w:sz="4" w:space="0" w:color="000000"/>
                  </w:tcBorders>
                </w:tcPr>
                <w:p>
                  <w:pPr>
                    <w:pStyle w:val="ConsPlusNormal1"/>
                    <w:widowControl w:val="false"/>
                    <w:ind w:hanging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Руководитель</w:t>
                  </w:r>
                </w:p>
                <w:p>
                  <w:pPr>
                    <w:pStyle w:val="ConsPlusNormal1"/>
                    <w:widowControl w:val="false"/>
                    <w:ind w:hanging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проектной организации</w:t>
                  </w:r>
                </w:p>
              </w:tc>
              <w:tc>
                <w:tcPr>
                  <w:tcW w:w="5775" w:type="dxa"/>
                  <w:gridSpan w:val="9"/>
                  <w:tcBorders>
                    <w:top w:val="single" w:sz="4" w:space="0" w:color="000000"/>
                  </w:tcBorders>
                </w:tcPr>
                <w:p>
                  <w:pPr>
                    <w:pStyle w:val="ConsPlusNormal1"/>
                    <w:widowControl w:val="false"/>
                    <w:ind w:hanging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  <w:p>
                  <w:pPr>
                    <w:pStyle w:val="ConsPlusNormal1"/>
                    <w:widowControl w:val="false"/>
                    <w:ind w:hanging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______________________________________________</w:t>
                  </w:r>
                </w:p>
              </w:tc>
            </w:tr>
            <w:tr>
              <w:trPr/>
              <w:tc>
                <w:tcPr>
                  <w:tcW w:w="3525" w:type="dxa"/>
                  <w:gridSpan w:val="8"/>
                  <w:tcBorders/>
                </w:tcPr>
                <w:p>
                  <w:pPr>
                    <w:pStyle w:val="ConsPlusNormal1"/>
                    <w:widowControl w:val="false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  <w:tc>
                <w:tcPr>
                  <w:tcW w:w="5775" w:type="dxa"/>
                  <w:gridSpan w:val="9"/>
                  <w:tcBorders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[подпись (инициалы, фамилия)]</w:t>
                  </w:r>
                </w:p>
              </w:tc>
            </w:tr>
            <w:tr>
              <w:trPr/>
              <w:tc>
                <w:tcPr>
                  <w:tcW w:w="3525" w:type="dxa"/>
                  <w:gridSpan w:val="8"/>
                  <w:tcBorders/>
                </w:tcPr>
                <w:p>
                  <w:pPr>
                    <w:pStyle w:val="ConsPlusNormal1"/>
                    <w:widowControl w:val="false"/>
                    <w:ind w:hanging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Главный инженер проекта</w:t>
                  </w:r>
                </w:p>
              </w:tc>
              <w:tc>
                <w:tcPr>
                  <w:tcW w:w="5775" w:type="dxa"/>
                  <w:gridSpan w:val="9"/>
                  <w:tcBorders/>
                </w:tcPr>
                <w:p>
                  <w:pPr>
                    <w:pStyle w:val="ConsPlusNormal1"/>
                    <w:widowControl w:val="false"/>
                    <w:ind w:hanging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________________________________________</w:t>
                  </w:r>
                </w:p>
              </w:tc>
            </w:tr>
            <w:tr>
              <w:trPr>
                <w:trHeight w:val="21" w:hRule="atLeast"/>
              </w:trPr>
              <w:tc>
                <w:tcPr>
                  <w:tcW w:w="3525" w:type="dxa"/>
                  <w:gridSpan w:val="8"/>
                  <w:tcBorders/>
                </w:tcPr>
                <w:p>
                  <w:pPr>
                    <w:pStyle w:val="ConsPlusNormal1"/>
                    <w:widowControl w:val="false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  <w:tc>
                <w:tcPr>
                  <w:tcW w:w="5775" w:type="dxa"/>
                  <w:gridSpan w:val="9"/>
                  <w:tcBorders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[подпись (инициалы, фамилия)]</w:t>
                  </w:r>
                </w:p>
              </w:tc>
            </w:tr>
            <w:tr>
              <w:trPr/>
              <w:tc>
                <w:tcPr>
                  <w:tcW w:w="2046" w:type="dxa"/>
                  <w:gridSpan w:val="5"/>
                  <w:tcBorders/>
                </w:tcPr>
                <w:p>
                  <w:pPr>
                    <w:pStyle w:val="ConsPlusNormal1"/>
                    <w:widowControl w:val="false"/>
                    <w:ind w:hanging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 xml:space="preserve">Начальник отдела </w:t>
                  </w:r>
                </w:p>
              </w:tc>
              <w:tc>
                <w:tcPr>
                  <w:tcW w:w="2764" w:type="dxa"/>
                  <w:gridSpan w:val="5"/>
                  <w:tcBorders/>
                </w:tcPr>
                <w:p>
                  <w:pPr>
                    <w:pStyle w:val="ConsPlusNormal1"/>
                    <w:widowControl w:val="false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  <w:tc>
                <w:tcPr>
                  <w:tcW w:w="188" w:type="dxa"/>
                  <w:gridSpan w:val="2"/>
                  <w:tcBorders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  <w:tc>
                <w:tcPr>
                  <w:tcW w:w="4302" w:type="dxa"/>
                  <w:gridSpan w:val="5"/>
                  <w:tcBorders/>
                </w:tcPr>
                <w:p>
                  <w:pPr>
                    <w:pStyle w:val="ConsPlusNormal1"/>
                    <w:widowControl w:val="false"/>
                    <w:ind w:hanging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____________________________________</w:t>
                  </w:r>
                </w:p>
              </w:tc>
            </w:tr>
            <w:tr>
              <w:trPr>
                <w:trHeight w:val="347" w:hRule="atLeast"/>
              </w:trPr>
              <w:tc>
                <w:tcPr>
                  <w:tcW w:w="2046" w:type="dxa"/>
                  <w:gridSpan w:val="5"/>
                  <w:tcBorders/>
                </w:tcPr>
                <w:p>
                  <w:pPr>
                    <w:pStyle w:val="ConsPlusNormal1"/>
                    <w:widowControl w:val="false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  <w:tc>
                <w:tcPr>
                  <w:tcW w:w="2764" w:type="dxa"/>
                  <w:gridSpan w:val="5"/>
                  <w:tcBorders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  <w:tc>
                <w:tcPr>
                  <w:tcW w:w="923" w:type="dxa"/>
                  <w:gridSpan w:val="3"/>
                  <w:tcBorders/>
                </w:tcPr>
                <w:p>
                  <w:pPr>
                    <w:pStyle w:val="ConsPlusNormal1"/>
                    <w:widowControl w:val="false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  <w:tc>
                <w:tcPr>
                  <w:tcW w:w="3567" w:type="dxa"/>
                  <w:gridSpan w:val="4"/>
                  <w:tcBorders/>
                </w:tcPr>
                <w:p>
                  <w:pPr>
                    <w:pStyle w:val="ConsPlusNormal1"/>
                    <w:widowControl w:val="false"/>
                    <w:ind w:hanging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[подпись (инициалы, фамилия)]</w:t>
                  </w:r>
                </w:p>
              </w:tc>
            </w:tr>
            <w:tr>
              <w:trPr/>
              <w:tc>
                <w:tcPr>
                  <w:tcW w:w="2046" w:type="dxa"/>
                  <w:gridSpan w:val="5"/>
                  <w:tcBorders/>
                </w:tcPr>
                <w:p>
                  <w:pPr>
                    <w:pStyle w:val="ConsPlusNormal1"/>
                    <w:widowControl w:val="false"/>
                    <w:ind w:hanging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Заказчик</w:t>
                  </w:r>
                </w:p>
              </w:tc>
              <w:tc>
                <w:tcPr>
                  <w:tcW w:w="7254" w:type="dxa"/>
                  <w:gridSpan w:val="12"/>
                  <w:tcBorders/>
                </w:tcPr>
                <w:p>
                  <w:pPr>
                    <w:pStyle w:val="ConsPlusNormal1"/>
                    <w:widowControl w:val="false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</w:tr>
            <w:tr>
              <w:trPr/>
              <w:tc>
                <w:tcPr>
                  <w:tcW w:w="2046" w:type="dxa"/>
                  <w:gridSpan w:val="5"/>
                  <w:tcBorders/>
                </w:tcPr>
                <w:p>
                  <w:pPr>
                    <w:pStyle w:val="ConsPlusNormal1"/>
                    <w:widowControl w:val="false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  <w:tc>
                <w:tcPr>
                  <w:tcW w:w="7254" w:type="dxa"/>
                  <w:gridSpan w:val="12"/>
                  <w:tcBorders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[должность, подпись (инициалы, фамилия)]</w:t>
                  </w:r>
                </w:p>
              </w:tc>
            </w:tr>
          </w:tbl>
          <w:p>
            <w:pPr>
              <w:pStyle w:val="ConsPlusNormal1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500" w:type="dxa"/>
            <w:gridSpan w:val="3"/>
            <w:tcBorders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</w:tbl>
    <w:p>
      <w:pPr>
        <w:pStyle w:val="Normal"/>
        <w:spacing w:lineRule="auto" w:line="240" w:before="0" w:after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ind w:left="6373" w:hanging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ind w:left="6373" w:hanging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ind w:left="6373" w:hanging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ind w:left="6373" w:hanging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ind w:left="6373" w:hanging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ind w:left="6373" w:hanging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ind w:left="6373" w:hanging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ind w:left="6373" w:hanging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ind w:left="6373" w:hanging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ind w:left="6373" w:hanging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ind w:left="6373" w:hanging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ind w:left="6373" w:hanging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ind w:left="6373" w:hanging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ind w:left="6373" w:hanging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ind w:left="6373" w:hanging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ind w:left="6373" w:hanging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ind w:left="6373" w:hanging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ind w:left="6373" w:hanging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ind w:left="6373" w:hanging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ind w:left="6373" w:hanging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ind w:left="6373" w:hanging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ind w:left="6373" w:hanging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ind w:left="6373" w:hanging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ind w:left="6373" w:hanging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ind w:left="6373" w:hanging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ind w:left="6373" w:hanging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ind w:left="6373" w:hanging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ind w:left="6373" w:hanging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ind w:left="6373" w:hanging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ind w:left="6373" w:hanging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ind w:left="6373" w:hanging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ind w:left="6373" w:hanging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ind w:left="6373" w:hanging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ind w:left="6373" w:hanging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ind w:left="6373" w:hanging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ind w:left="6373" w:hanging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ind w:left="6373" w:hanging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ind w:left="6373" w:hanging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ind w:left="6373" w:hanging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ind w:left="6373" w:hanging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ind w:left="6373" w:hanging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ind w:left="6373" w:hanging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ind w:left="6373" w:hanging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eastAsia="Calibri" w:eastAsiaTheme="minorHAnsi"/>
          <w:color w:val="000000"/>
          <w:sz w:val="24"/>
          <w:szCs w:val="24"/>
          <w:lang w:eastAsia="en-US"/>
        </w:rPr>
      </w:pPr>
      <w:r>
        <w:rPr>
          <w:rFonts w:eastAsia="Calibri" w:eastAsiaTheme="minorHAnsi" w:ascii="Times New Roman" w:hAnsi="Times New Roman"/>
          <w:color w:val="000000"/>
          <w:sz w:val="24"/>
          <w:szCs w:val="24"/>
          <w:lang w:eastAsia="en-US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  <w:bCs/>
          <w:i/>
          <w:i/>
          <w:sz w:val="20"/>
          <w:szCs w:val="20"/>
        </w:rPr>
      </w:pPr>
      <w:r>
        <w:rPr>
          <w:rFonts w:eastAsia="Calibri" w:ascii="Times New Roman" w:hAnsi="Times New Roman"/>
          <w:i/>
          <w:sz w:val="20"/>
          <w:szCs w:val="20"/>
        </w:rPr>
        <w:t>Приложение 4 к Т</w:t>
      </w:r>
      <w:r>
        <w:rPr>
          <w:rFonts w:ascii="Times New Roman" w:hAnsi="Times New Roman"/>
          <w:bCs/>
          <w:i/>
          <w:sz w:val="20"/>
          <w:szCs w:val="20"/>
        </w:rPr>
        <w:t xml:space="preserve">ребованиям к оформлению и составлению </w:t>
      </w:r>
    </w:p>
    <w:p>
      <w:pPr>
        <w:pStyle w:val="ConsPlusNormal1"/>
        <w:widowControl/>
        <w:tabs>
          <w:tab w:val="clear" w:pos="708"/>
          <w:tab w:val="left" w:pos="1260" w:leader="none"/>
        </w:tabs>
        <w:ind w:left="1260" w:hanging="1080"/>
        <w:jc w:val="right"/>
        <w:rPr>
          <w:rFonts w:ascii="Times New Roman" w:hAnsi="Times New Roman"/>
          <w:bCs/>
          <w:i/>
          <w:i/>
        </w:rPr>
      </w:pPr>
      <w:r>
        <w:rPr>
          <w:rFonts w:ascii="Times New Roman" w:hAnsi="Times New Roman"/>
          <w:bCs/>
          <w:i/>
        </w:rPr>
        <w:t>документации по ценообразованию</w:t>
      </w:r>
    </w:p>
    <w:p>
      <w:pPr>
        <w:pStyle w:val="ConsPlusNormal1"/>
        <w:widowControl/>
        <w:tabs>
          <w:tab w:val="clear" w:pos="708"/>
          <w:tab w:val="left" w:pos="1260" w:leader="none"/>
        </w:tabs>
        <w:ind w:left="1260" w:hanging="1080"/>
        <w:jc w:val="right"/>
        <w:rPr>
          <w:rFonts w:ascii="Times New Roman" w:hAnsi="Times New Roman" w:cs="Times New Roman"/>
          <w:b/>
          <w:i/>
          <w:i/>
          <w:sz w:val="22"/>
          <w:szCs w:val="22"/>
        </w:rPr>
      </w:pPr>
      <w:r>
        <w:rPr>
          <w:rFonts w:cs="Times New Roman" w:ascii="Times New Roman" w:hAnsi="Times New Roman"/>
          <w:b/>
          <w:i/>
          <w:sz w:val="22"/>
          <w:szCs w:val="22"/>
        </w:rPr>
      </w:r>
    </w:p>
    <w:p>
      <w:pPr>
        <w:pStyle w:val="ConsPlusNormal1"/>
        <w:widowControl/>
        <w:tabs>
          <w:tab w:val="clear" w:pos="708"/>
          <w:tab w:val="left" w:pos="1260" w:leader="none"/>
        </w:tabs>
        <w:ind w:left="1260" w:hanging="1080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cs="Times New Roman" w:ascii="Times New Roman" w:hAnsi="Times New Roman"/>
          <w:b/>
          <w:sz w:val="22"/>
          <w:szCs w:val="22"/>
        </w:rPr>
        <w:t>Требования к оформлению и составлению</w:t>
      </w:r>
    </w:p>
    <w:p>
      <w:pPr>
        <w:pStyle w:val="ConsPlusNormal1"/>
        <w:widowControl/>
        <w:tabs>
          <w:tab w:val="clear" w:pos="708"/>
          <w:tab w:val="left" w:pos="1620" w:leader="none"/>
        </w:tabs>
        <w:ind w:firstLine="180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cs="Times New Roman" w:ascii="Times New Roman" w:hAnsi="Times New Roman"/>
          <w:b/>
          <w:sz w:val="22"/>
          <w:szCs w:val="22"/>
        </w:rPr>
        <w:t xml:space="preserve"> </w:t>
      </w:r>
      <w:r>
        <w:rPr>
          <w:rFonts w:cs="Times New Roman" w:ascii="Times New Roman" w:hAnsi="Times New Roman"/>
          <w:b/>
          <w:sz w:val="22"/>
          <w:szCs w:val="22"/>
        </w:rPr>
        <w:t>сметной документации в составе рабочей документации на работы по программе реконструкции и техническому перевооружению (не относящихся к работам, стоимость которых определяется в соответствии со Статьей 8.3 Градостроительного кодекса РФ)</w:t>
      </w:r>
    </w:p>
    <w:p>
      <w:pPr>
        <w:pStyle w:val="ConsPlusNormal1"/>
        <w:widowControl/>
        <w:tabs>
          <w:tab w:val="clear" w:pos="708"/>
          <w:tab w:val="left" w:pos="1620" w:leader="none"/>
        </w:tabs>
        <w:ind w:firstLine="180"/>
        <w:jc w:val="both"/>
        <w:rPr>
          <w:rFonts w:ascii="Times New Roman" w:hAnsi="Times New Roman" w:cs="Times New Roman"/>
          <w:b/>
          <w:sz w:val="22"/>
          <w:szCs w:val="22"/>
        </w:rPr>
      </w:pPr>
      <w:r>
        <w:rPr>
          <w:rFonts w:cs="Times New Roman" w:ascii="Times New Roman" w:hAnsi="Times New Roman"/>
          <w:b/>
          <w:sz w:val="22"/>
          <w:szCs w:val="22"/>
        </w:rPr>
      </w:r>
    </w:p>
    <w:p>
      <w:pPr>
        <w:pStyle w:val="ConsPlusNormal1"/>
        <w:widowControl/>
        <w:numPr>
          <w:ilvl w:val="0"/>
          <w:numId w:val="6"/>
        </w:numPr>
        <w:tabs>
          <w:tab w:val="clear" w:pos="708"/>
          <w:tab w:val="left" w:pos="426" w:leader="none"/>
          <w:tab w:val="left" w:pos="993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>
        <w:rPr>
          <w:rFonts w:cs="Times New Roman" w:ascii="Times New Roman" w:hAnsi="Times New Roman"/>
          <w:sz w:val="22"/>
          <w:szCs w:val="22"/>
        </w:rPr>
        <w:t>Настоящие требования разработаны для единого подхода к оформлению и составлению сметной документации на работы по ремонтам, реконструкции и техническому перевооружению.</w:t>
      </w:r>
    </w:p>
    <w:p>
      <w:pPr>
        <w:pStyle w:val="ConsPlusNormal1"/>
        <w:widowControl/>
        <w:numPr>
          <w:ilvl w:val="0"/>
          <w:numId w:val="6"/>
        </w:numPr>
        <w:tabs>
          <w:tab w:val="clear" w:pos="708"/>
          <w:tab w:val="left" w:pos="426" w:leader="none"/>
          <w:tab w:val="left" w:pos="993" w:leader="none"/>
        </w:tabs>
        <w:spacing w:before="40" w:after="40"/>
        <w:ind w:left="0" w:firstLine="709"/>
        <w:jc w:val="both"/>
        <w:rPr>
          <w:rFonts w:ascii="Times New Roman" w:hAnsi="Times New Roman"/>
          <w:sz w:val="22"/>
          <w:szCs w:val="22"/>
          <w:u w:val="single"/>
        </w:rPr>
      </w:pPr>
      <w:r>
        <w:rPr>
          <w:rFonts w:cs="Times New Roman" w:ascii="Times New Roman" w:hAnsi="Times New Roman"/>
          <w:sz w:val="22"/>
          <w:szCs w:val="22"/>
        </w:rPr>
        <w:t>Использование</w:t>
      </w:r>
      <w:r>
        <w:rPr>
          <w:rFonts w:ascii="Times New Roman" w:hAnsi="Times New Roman"/>
          <w:sz w:val="22"/>
          <w:szCs w:val="22"/>
        </w:rPr>
        <w:t xml:space="preserve"> нормативов ценообразования, не зарегистрированных и не вошедших в ФРСН, </w:t>
      </w:r>
      <w:r>
        <w:rPr>
          <w:rFonts w:ascii="Times New Roman" w:hAnsi="Times New Roman"/>
          <w:b/>
          <w:sz w:val="22"/>
          <w:szCs w:val="22"/>
          <w:u w:val="single"/>
        </w:rPr>
        <w:t>не допускается</w:t>
      </w:r>
      <w:r>
        <w:rPr>
          <w:rFonts w:ascii="Times New Roman" w:hAnsi="Times New Roman"/>
          <w:sz w:val="22"/>
          <w:szCs w:val="22"/>
        </w:rPr>
        <w:t>, кроме случаев, прямо указанных в настоящих требованиях.</w:t>
      </w:r>
    </w:p>
    <w:p>
      <w:pPr>
        <w:pStyle w:val="ConsPlusNormal1"/>
        <w:widowControl/>
        <w:numPr>
          <w:ilvl w:val="0"/>
          <w:numId w:val="6"/>
        </w:numPr>
        <w:tabs>
          <w:tab w:val="clear" w:pos="708"/>
          <w:tab w:val="left" w:pos="426" w:leader="none"/>
          <w:tab w:val="left" w:pos="993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>
        <w:rPr>
          <w:rFonts w:cs="Times New Roman" w:ascii="Times New Roman" w:hAnsi="Times New Roman"/>
          <w:sz w:val="22"/>
          <w:szCs w:val="22"/>
        </w:rPr>
        <w:t xml:space="preserve">Версия программного комплекса «Гранд-Смета» (далее–ПК «Гранд-смета») </w:t>
      </w:r>
      <w:r>
        <w:rPr>
          <w:rFonts w:cs="Times New Roman" w:ascii="Times New Roman" w:hAnsi="Times New Roman"/>
          <w:sz w:val="22"/>
          <w:szCs w:val="22"/>
          <w:u w:val="single"/>
        </w:rPr>
        <w:t>должна быть не ниже 2025.2.</w:t>
      </w:r>
    </w:p>
    <w:p>
      <w:pPr>
        <w:pStyle w:val="ConsPlusNormal1"/>
        <w:widowControl/>
        <w:numPr>
          <w:ilvl w:val="0"/>
          <w:numId w:val="6"/>
        </w:numPr>
        <w:tabs>
          <w:tab w:val="clear" w:pos="708"/>
          <w:tab w:val="left" w:pos="426" w:leader="none"/>
          <w:tab w:val="left" w:pos="993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При составлении смет руководствоваться 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введенной в действие Приказом Министерства строительства и ЖКХ РФ от 04.08.2020 № 421/пр. (далее - Методикой определения сметной стоимости строительства), с учетом изменений и дополнений.</w:t>
      </w:r>
    </w:p>
    <w:p>
      <w:pPr>
        <w:pStyle w:val="ConsPlusNormal1"/>
        <w:widowControl/>
        <w:numPr>
          <w:ilvl w:val="0"/>
          <w:numId w:val="6"/>
        </w:numPr>
        <w:tabs>
          <w:tab w:val="clear" w:pos="708"/>
          <w:tab w:val="left" w:pos="426" w:leader="none"/>
          <w:tab w:val="left" w:pos="993" w:leader="none"/>
        </w:tabs>
        <w:spacing w:before="40" w:after="40"/>
        <w:ind w:left="0" w:firstLine="709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При составлении смет на реконструкцию и техническое перевооружение энергетического оборудования приоритетным является применение сборников «Базовых цен на работы по ремонту энергетического оборудования, адекватных условиям функционирования конкурентного рынка услуг по ремонту и техперевооружению» с учетом дополнений и изменений </w:t>
        <w:br/>
        <w:t xml:space="preserve">1-12 (далее – БЦ), «Методических указаний по формированию смет и калькуляций на ремонт энергооборудования» (СО 34.20.607-2005), разработанных АО «ЦКБ Энергоремонт», с учетом их дополнений и изменений (БЦ с учетом Доп.1-12). </w:t>
      </w:r>
    </w:p>
    <w:p>
      <w:pPr>
        <w:pStyle w:val="ConsPlusNormal1"/>
        <w:widowControl/>
        <w:tabs>
          <w:tab w:val="clear" w:pos="708"/>
          <w:tab w:val="left" w:pos="426" w:leader="none"/>
          <w:tab w:val="left" w:pos="993" w:leader="none"/>
        </w:tabs>
        <w:spacing w:before="40" w:after="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Поправочный индекс к Базовым ценам необходимо рассчитать согласно служебной записки  Департамента закупок. маркетинга и ценообразования  от 13.03.2025 № Вн-1885.38</w:t>
      </w:r>
      <w:r>
        <w:rPr>
          <w:rFonts w:cs="Times New Roman" w:ascii="Times New Roman" w:hAnsi="Times New Roman"/>
          <w:bCs/>
          <w:iCs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Сметная документация с использованием вышеуказанных сборников составляется базисно-индексным методом. </w:t>
      </w:r>
    </w:p>
    <w:p>
      <w:pPr>
        <w:pStyle w:val="ConsPlusNormal1"/>
        <w:widowControl/>
        <w:numPr>
          <w:ilvl w:val="0"/>
          <w:numId w:val="6"/>
        </w:numPr>
        <w:tabs>
          <w:tab w:val="clear" w:pos="708"/>
          <w:tab w:val="left" w:pos="426" w:leader="none"/>
          <w:tab w:val="left" w:pos="993" w:leader="none"/>
        </w:tabs>
        <w:spacing w:before="40" w:after="40"/>
        <w:ind w:left="0" w:firstLine="709"/>
        <w:jc w:val="both"/>
        <w:rPr>
          <w:rFonts w:ascii="Times New Roman" w:hAnsi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При</w:t>
      </w:r>
      <w:r>
        <w:rPr>
          <w:rFonts w:ascii="Times New Roman" w:hAnsi="Times New Roman"/>
          <w:sz w:val="22"/>
          <w:szCs w:val="22"/>
        </w:rPr>
        <w:t xml:space="preserve"> составлении сметной документации необходимо использовать сметно-нормативную базу «ФСНБ-2022 изм.1-14».</w:t>
      </w:r>
    </w:p>
    <w:p>
      <w:pPr>
        <w:pStyle w:val="Normal"/>
        <w:tabs>
          <w:tab w:val="clear" w:pos="708"/>
          <w:tab w:val="left" w:pos="0" w:leader="none"/>
        </w:tabs>
        <w:spacing w:before="0" w:after="0"/>
        <w:jc w:val="both"/>
        <w:rPr>
          <w:rFonts w:ascii="Times New Roman" w:hAnsi="Times New Roman"/>
          <w:color w:val="FF0000"/>
          <w:highlight w:val="lightGray"/>
        </w:rPr>
      </w:pPr>
      <w:r>
        <w:rPr>
          <w:rFonts w:ascii="Times New Roman" w:hAnsi="Times New Roman"/>
        </w:rPr>
        <w:tab/>
        <w:t xml:space="preserve">7. Определение сметной стоимости работ при реконструкции и техническом перевооружении  определять с применением </w:t>
      </w:r>
      <w:bookmarkStart w:id="3" w:name="_Hlk80987880"/>
      <w:r>
        <w:rPr>
          <w:rFonts w:ascii="Times New Roman" w:hAnsi="Times New Roman"/>
          <w:b/>
          <w:bCs/>
        </w:rPr>
        <w:t>ресурсно-индексного метода</w:t>
      </w:r>
      <w:r>
        <w:rPr>
          <w:rFonts w:ascii="Times New Roman" w:hAnsi="Times New Roman"/>
        </w:rPr>
        <w:t xml:space="preserve"> - с использованием сметных норм, сметных цен строительных ресурсов в базисном уровне цен и одновременным применением информации о сметных ценах, размещенной в ФГИС ЦС, а также индексов изменения сметной стоимости к составляющим единичных расценок в базисном уровне цен. Сметная стоимость, определенная с применением ресурсно-индексного метода, приводится в ЛСР (ЛС) в текущем уровне цен</w:t>
      </w:r>
      <w:bookmarkEnd w:id="3"/>
      <w:r>
        <w:rPr>
          <w:rFonts w:ascii="Times New Roman" w:hAnsi="Times New Roman"/>
        </w:rPr>
        <w:t>.</w:t>
      </w:r>
      <w:r>
        <w:rPr>
          <w:rFonts w:ascii="Times New Roman" w:hAnsi="Times New Roman"/>
          <w:highlight w:val="lightGray"/>
        </w:rPr>
        <w:t xml:space="preserve"> </w:t>
      </w:r>
    </w:p>
    <w:p>
      <w:pPr>
        <w:pStyle w:val="ConsPlusNormal1"/>
        <w:widowControl/>
        <w:numPr>
          <w:ilvl w:val="0"/>
          <w:numId w:val="12"/>
        </w:numPr>
        <w:tabs>
          <w:tab w:val="clear" w:pos="708"/>
          <w:tab w:val="left" w:pos="851" w:leader="none"/>
          <w:tab w:val="left" w:pos="1134" w:leader="none"/>
        </w:tabs>
        <w:spacing w:before="40" w:after="4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Для </w:t>
      </w:r>
      <w:r>
        <w:rPr>
          <w:rFonts w:ascii="Times New Roman" w:hAnsi="Times New Roman"/>
          <w:b/>
          <w:sz w:val="22"/>
          <w:szCs w:val="22"/>
          <w:u w:val="single"/>
        </w:rPr>
        <w:t>ресурсно-индексного метода</w:t>
      </w:r>
      <w:r>
        <w:rPr>
          <w:rFonts w:ascii="Times New Roman" w:hAnsi="Times New Roman"/>
          <w:sz w:val="22"/>
          <w:szCs w:val="22"/>
        </w:rPr>
        <w:t>:</w:t>
      </w:r>
    </w:p>
    <w:p>
      <w:pPr>
        <w:pStyle w:val="ListParagraph"/>
        <w:numPr>
          <w:ilvl w:val="0"/>
          <w:numId w:val="8"/>
        </w:numPr>
        <w:tabs>
          <w:tab w:val="clear" w:pos="708"/>
          <w:tab w:val="left" w:pos="1134" w:leader="none"/>
        </w:tabs>
        <w:spacing w:lineRule="auto" w:line="240" w:before="40" w:after="40"/>
        <w:ind w:left="0" w:firstLine="709"/>
        <w:contextualSpacing w:val="false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индексы к отдельным строительным ресурсам, индексы к группам строительных ресурсов</w:t>
      </w:r>
      <w:r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</w:rPr>
        <w:t>(индексы к сметной стоимости отдельных материалов, изделий, конструкций, оборудования, эксплуатации машин и механизмов или к стоимости однородных групп таких строительных ресурсов);</w:t>
      </w:r>
    </w:p>
    <w:p>
      <w:pPr>
        <w:pStyle w:val="ListParagraph"/>
        <w:numPr>
          <w:ilvl w:val="0"/>
          <w:numId w:val="8"/>
        </w:numPr>
        <w:tabs>
          <w:tab w:val="clear" w:pos="708"/>
          <w:tab w:val="left" w:pos="1134" w:leader="none"/>
        </w:tabs>
        <w:spacing w:lineRule="auto" w:line="240" w:before="40" w:after="40"/>
        <w:ind w:left="0" w:firstLine="709"/>
        <w:contextualSpacing w:val="false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индексы изменения сметных цен на перевозку грузов – применяются к сметной стоимости затрат на перевозку грузов для строительства автомобильным транспортом, в том числе на дополнительное расстояние, сверх учтенного сметными ценами на материальные ресурсы и оборудование, в соответствии с типом автотранспортных средств;</w:t>
      </w:r>
    </w:p>
    <w:p>
      <w:pPr>
        <w:pStyle w:val="ListParagraph"/>
        <w:numPr>
          <w:ilvl w:val="0"/>
          <w:numId w:val="8"/>
        </w:numPr>
        <w:tabs>
          <w:tab w:val="clear" w:pos="708"/>
          <w:tab w:val="left" w:pos="1134" w:leader="none"/>
        </w:tabs>
        <w:spacing w:lineRule="auto" w:line="240" w:before="40" w:after="40"/>
        <w:ind w:left="0" w:firstLine="709"/>
        <w:contextualSpacing w:val="false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индексы изменения сметной стоимости оборудования – применяются к сметной стоимости оборудования;</w:t>
      </w:r>
    </w:p>
    <w:p>
      <w:pPr>
        <w:pStyle w:val="ListParagraph"/>
        <w:numPr>
          <w:ilvl w:val="0"/>
          <w:numId w:val="8"/>
        </w:numPr>
        <w:tabs>
          <w:tab w:val="clear" w:pos="708"/>
          <w:tab w:val="left" w:pos="1134" w:leader="none"/>
        </w:tabs>
        <w:spacing w:lineRule="auto" w:line="240" w:before="40" w:after="40"/>
        <w:ind w:left="0" w:firstLine="709"/>
        <w:contextualSpacing w:val="false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индексы изменения сметной стоимости, рассчитываемые для применения к сметной стоимости отдельных видов прочих работ и затрат.</w:t>
      </w:r>
    </w:p>
    <w:p>
      <w:pPr>
        <w:pStyle w:val="ListParagraph"/>
        <w:numPr>
          <w:ilvl w:val="0"/>
          <w:numId w:val="12"/>
        </w:numPr>
        <w:tabs>
          <w:tab w:val="clear" w:pos="708"/>
          <w:tab w:val="left" w:pos="284" w:leader="none"/>
          <w:tab w:val="left" w:pos="1134" w:leader="none"/>
        </w:tabs>
        <w:spacing w:lineRule="auto" w:line="240" w:before="40" w:after="40"/>
        <w:ind w:left="142" w:firstLine="567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Для пересчета сметной стоимости в прогнозный уровень цен допускается использовать  текущие индексы – дефляторы в соответствии с прогнозом Министерства экономического развития РФ (прогноз «базовый», в соответствии с планируемым периодом выполнения работ). Расчет индексов-дефляторов производить согласно Единой методики формирования плановой цены на закупаемую продукцию для организаций группы РусГидро, утвержденную приказом № 806 от 21.11.2024 с учетом изменений согласно приказу №911 от 24.12.2024 г. </w:t>
      </w:r>
      <w:r>
        <w:rPr>
          <w:rFonts w:ascii="Times New Roman" w:hAnsi="Times New Roman"/>
          <w:sz w:val="24"/>
          <w:szCs w:val="24"/>
        </w:rPr>
        <w:t xml:space="preserve">. Пример расчета индекса фактической инфляции приведен в Приложении № 2 к настоящим Требованиям. </w:t>
      </w:r>
    </w:p>
    <w:p>
      <w:pPr>
        <w:pStyle w:val="ConsPlusNormal1"/>
        <w:widowControl/>
        <w:numPr>
          <w:ilvl w:val="0"/>
          <w:numId w:val="12"/>
        </w:numPr>
        <w:tabs>
          <w:tab w:val="clear" w:pos="708"/>
          <w:tab w:val="left" w:pos="284" w:leader="none"/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В случае, если </w:t>
      </w:r>
      <w:r>
        <w:rPr>
          <w:rFonts w:cs="Times New Roman" w:ascii="Times New Roman" w:hAnsi="Times New Roman"/>
          <w:sz w:val="22"/>
          <w:szCs w:val="22"/>
        </w:rPr>
        <w:t>стоимость рассчитана в текущем уровне цен с применением индексов изменения сметной стоимости, соответствующих году начала строительства</w:t>
      </w:r>
      <w:r>
        <w:rPr>
          <w:rFonts w:ascii="Times New Roman" w:hAnsi="Times New Roman"/>
          <w:sz w:val="22"/>
          <w:szCs w:val="22"/>
        </w:rPr>
        <w:t>, а планируемый период выполнения работ составляет до одного календарного года, то индекс-дефлятор не применяется.</w:t>
      </w:r>
    </w:p>
    <w:p>
      <w:pPr>
        <w:pStyle w:val="ListParagraph"/>
        <w:numPr>
          <w:ilvl w:val="0"/>
          <w:numId w:val="12"/>
        </w:numPr>
        <w:tabs>
          <w:tab w:val="clear" w:pos="708"/>
          <w:tab w:val="left" w:pos="0" w:leader="none"/>
          <w:tab w:val="left" w:pos="284" w:leader="none"/>
        </w:tabs>
        <w:spacing w:lineRule="auto" w:line="240" w:before="40" w:after="40"/>
        <w:ind w:left="0" w:firstLine="709"/>
        <w:contextualSpacing w:val="false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 случае </w:t>
      </w:r>
      <w:r>
        <w:rPr>
          <w:rFonts w:ascii="Times New Roman" w:hAnsi="Times New Roman"/>
          <w:i/>
        </w:rPr>
        <w:t>отсутствия</w:t>
      </w:r>
      <w:r>
        <w:rPr>
          <w:rFonts w:ascii="Times New Roman" w:hAnsi="Times New Roman"/>
        </w:rPr>
        <w:t xml:space="preserve"> единичных расценок в действующей СНБ возможно определение сметной стоимости с применением сборников: «Единых норм и расценок на строительные, монтажные и ремонтно-строительные работы» (далее – ЕНиР) и «Ведомственных норм и расценок на строительные, монтажные и ремонтно-строительные работы» (далее – ВНиР). Уровень оплаты труда для ЕНиР и ВНиР определять аналогично примененному в сметной документации методу расчета в соответствии с тарифными ставками сборника «Показатели часовой оплаты труда» (далее - ТС 2001), внесенного в ФРСН.</w:t>
      </w:r>
    </w:p>
    <w:p>
      <w:pPr>
        <w:pStyle w:val="ListParagraph"/>
        <w:numPr>
          <w:ilvl w:val="0"/>
          <w:numId w:val="12"/>
        </w:numPr>
        <w:tabs>
          <w:tab w:val="clear" w:pos="708"/>
          <w:tab w:val="left" w:pos="284" w:leader="none"/>
          <w:tab w:val="left" w:pos="1134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При </w:t>
      </w:r>
      <w:r>
        <w:rPr>
          <w:rFonts w:ascii="Times New Roman" w:hAnsi="Times New Roman"/>
          <w:i/>
        </w:rPr>
        <w:t xml:space="preserve">отсутствии </w:t>
      </w:r>
      <w:r>
        <w:rPr>
          <w:rFonts w:ascii="Times New Roman" w:hAnsi="Times New Roman"/>
        </w:rPr>
        <w:t>информации о сметных ценах в ФГИС ЦС и ФССЦ по материальным ресурсам и оборудованию, их сметная цена формируется Методом анализа ТКП, Методом мониторинга рынка  на основании конъюнктурного анализа в соответствии с приказом № 421/пр от 04.08.2020, с учетом изменений и дополнений.</w:t>
      </w:r>
    </w:p>
    <w:p>
      <w:pPr>
        <w:pStyle w:val="ConsPlusNormal1"/>
        <w:numPr>
          <w:ilvl w:val="0"/>
          <w:numId w:val="12"/>
        </w:numPr>
        <w:tabs>
          <w:tab w:val="clear" w:pos="708"/>
          <w:tab w:val="left" w:pos="284" w:leader="none"/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Сметная стоимость материальных ресурсов и индивидуального стандартизированного (адаптированного) оборудования в текущем уровне цен, информация о которых отсутствует во ФГИС ЦС и ФРСН, определяется с учетом транспортных и заготовительно-складских затрат.</w:t>
      </w:r>
      <w:r>
        <w:rPr>
          <w:rFonts w:cs="Times New Roman" w:ascii="Times New Roman" w:hAnsi="Times New Roman"/>
          <w:color w:val="FF0000"/>
          <w:sz w:val="22"/>
          <w:szCs w:val="22"/>
        </w:rPr>
        <w:t xml:space="preserve"> </w:t>
      </w:r>
    </w:p>
    <w:p>
      <w:pPr>
        <w:pStyle w:val="ListParagraph"/>
        <w:numPr>
          <w:ilvl w:val="0"/>
          <w:numId w:val="12"/>
        </w:numPr>
        <w:tabs>
          <w:tab w:val="clear" w:pos="708"/>
          <w:tab w:val="left" w:pos="284" w:leader="none"/>
          <w:tab w:val="left" w:pos="1134" w:leader="none"/>
        </w:tabs>
        <w:spacing w:lineRule="auto" w:line="240" w:before="40" w:after="40"/>
        <w:ind w:left="0" w:firstLine="709"/>
        <w:contextualSpacing w:val="false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Транспортные затраты определяются следующими методами:</w:t>
      </w:r>
    </w:p>
    <w:p>
      <w:pPr>
        <w:pStyle w:val="ListParagraph"/>
        <w:numPr>
          <w:ilvl w:val="1"/>
          <w:numId w:val="12"/>
        </w:numPr>
        <w:tabs>
          <w:tab w:val="clear" w:pos="708"/>
          <w:tab w:val="left" w:pos="284" w:leader="none"/>
          <w:tab w:val="left" w:pos="1134" w:leader="none"/>
        </w:tabs>
        <w:spacing w:lineRule="auto" w:line="240" w:before="40" w:after="40"/>
        <w:ind w:left="0" w:firstLine="709"/>
        <w:contextualSpacing w:val="false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по доставке материальных ресурсов:</w:t>
      </w:r>
      <w:r>
        <w:rPr>
          <w:rFonts w:ascii="Times New Roman" w:hAnsi="Times New Roman"/>
        </w:rPr>
        <w:t xml:space="preserve"> </w:t>
      </w:r>
    </w:p>
    <w:p>
      <w:pPr>
        <w:pStyle w:val="ConsPlusNormal1"/>
        <w:numPr>
          <w:ilvl w:val="0"/>
          <w:numId w:val="10"/>
        </w:numPr>
        <w:tabs>
          <w:tab w:val="clear" w:pos="708"/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расчетом с учетом расстояния перевозки, класса грузов, типа транспорта, наличии погрузо-разгрузочных работ, информации о ценах на услуги на перевозку грузов, в зависимости от вида транспорта (ж/д, автомобильный, речной, морской, воздушный), включенных в ФГИС ЦС и в соответствии со сметными нормативами, включенными в ФРСН;</w:t>
      </w:r>
    </w:p>
    <w:p>
      <w:pPr>
        <w:pStyle w:val="ConsPlusNormal1"/>
        <w:widowControl/>
        <w:numPr>
          <w:ilvl w:val="0"/>
          <w:numId w:val="10"/>
        </w:numPr>
        <w:tabs>
          <w:tab w:val="clear" w:pos="708"/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Методом анализа ТКП;</w:t>
      </w:r>
    </w:p>
    <w:p>
      <w:pPr>
        <w:pStyle w:val="ConsPlusNormal1"/>
        <w:widowControl/>
        <w:numPr>
          <w:ilvl w:val="0"/>
          <w:numId w:val="10"/>
        </w:numPr>
        <w:tabs>
          <w:tab w:val="clear" w:pos="708"/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в размере до 3-х процентов от отпускной цены материальных ресурсов (при невозможности определить затраты указанными выше способами), по решению заказчика.</w:t>
      </w:r>
    </w:p>
    <w:p>
      <w:pPr>
        <w:pStyle w:val="ListParagraph"/>
        <w:numPr>
          <w:ilvl w:val="1"/>
          <w:numId w:val="12"/>
        </w:numPr>
        <w:tabs>
          <w:tab w:val="clear" w:pos="708"/>
          <w:tab w:val="left" w:pos="284" w:leader="none"/>
          <w:tab w:val="left" w:pos="1134" w:leader="none"/>
        </w:tabs>
        <w:spacing w:lineRule="auto" w:line="240" w:before="40" w:after="40"/>
        <w:ind w:left="0" w:firstLine="709"/>
        <w:contextualSpacing w:val="false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по доставке оборудования</w:t>
      </w:r>
      <w:r>
        <w:rPr>
          <w:rFonts w:ascii="Times New Roman" w:hAnsi="Times New Roman"/>
        </w:rPr>
        <w:t>:</w:t>
      </w:r>
    </w:p>
    <w:p>
      <w:pPr>
        <w:pStyle w:val="ConsPlusNormal1"/>
        <w:widowControl/>
        <w:numPr>
          <w:ilvl w:val="0"/>
          <w:numId w:val="10"/>
        </w:numPr>
        <w:tabs>
          <w:tab w:val="clear" w:pos="708"/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расчетом с учетом расстояния перевозки, класса грузов, типа транспорта, наличии погрузо-разгрузочных работ, информации о ценах на услуги на перевозку грузов, в зависимости от вида транспорта (ж/д, автомобильный, речной, морской, воздушный), включенных в ФГИС ЦС и в соответствии со сметными нормативами, включенными в ФРСН;</w:t>
      </w:r>
    </w:p>
    <w:p>
      <w:pPr>
        <w:pStyle w:val="ConsPlusNormal1"/>
        <w:widowControl/>
        <w:numPr>
          <w:ilvl w:val="0"/>
          <w:numId w:val="10"/>
        </w:numPr>
        <w:tabs>
          <w:tab w:val="clear" w:pos="708"/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Методом анализа ТКП;</w:t>
      </w:r>
    </w:p>
    <w:p>
      <w:pPr>
        <w:pStyle w:val="ConsPlusNormal1"/>
        <w:numPr>
          <w:ilvl w:val="0"/>
          <w:numId w:val="10"/>
        </w:numPr>
        <w:tabs>
          <w:tab w:val="clear" w:pos="708"/>
          <w:tab w:val="left" w:pos="284" w:leader="none"/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в размере до 3-х процентов от отпускной цены оборудования (при невозможности определить затраты</w:t>
      </w:r>
      <w:bookmarkStart w:id="4" w:name="_Hlk86255346"/>
      <w:r>
        <w:rPr>
          <w:rFonts w:cs="Times New Roman" w:ascii="Times New Roman" w:hAnsi="Times New Roman"/>
          <w:sz w:val="22"/>
          <w:szCs w:val="22"/>
        </w:rPr>
        <w:t xml:space="preserve"> </w:t>
      </w:r>
      <w:bookmarkEnd w:id="4"/>
      <w:r>
        <w:rPr>
          <w:rFonts w:cs="Times New Roman" w:ascii="Times New Roman" w:hAnsi="Times New Roman"/>
          <w:sz w:val="22"/>
          <w:szCs w:val="22"/>
        </w:rPr>
        <w:t>указанными выше способами), по решению заказчика.</w:t>
      </w:r>
    </w:p>
    <w:p>
      <w:pPr>
        <w:pStyle w:val="ListParagraph"/>
        <w:numPr>
          <w:ilvl w:val="0"/>
          <w:numId w:val="12"/>
        </w:numPr>
        <w:tabs>
          <w:tab w:val="clear" w:pos="708"/>
          <w:tab w:val="left" w:pos="284" w:leader="none"/>
          <w:tab w:val="left" w:pos="1134" w:leader="none"/>
        </w:tabs>
        <w:spacing w:lineRule="auto" w:line="240" w:before="40" w:after="40"/>
        <w:ind w:left="0" w:firstLine="709"/>
        <w:contextualSpacing w:val="false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Если транспортировка осуществляется заказчиком самостоятельно (самовывоз), данный показатель не учитывается.</w:t>
      </w:r>
    </w:p>
    <w:p>
      <w:pPr>
        <w:pStyle w:val="ListParagraph"/>
        <w:numPr>
          <w:ilvl w:val="0"/>
          <w:numId w:val="12"/>
        </w:numPr>
        <w:tabs>
          <w:tab w:val="clear" w:pos="708"/>
          <w:tab w:val="left" w:pos="851" w:leader="none"/>
        </w:tabs>
        <w:spacing w:lineRule="auto" w:line="240" w:before="40" w:after="40"/>
        <w:ind w:left="0" w:firstLine="567"/>
        <w:contextualSpacing w:val="false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Заготовительно-складские расходы определяются в % от суммы отпускной цены материалов, изделий, конструкций, оборудования и транспортных затрат:</w:t>
      </w:r>
    </w:p>
    <w:p>
      <w:pPr>
        <w:pStyle w:val="ConsPlusNormal1"/>
        <w:numPr>
          <w:ilvl w:val="0"/>
          <w:numId w:val="9"/>
        </w:numPr>
        <w:tabs>
          <w:tab w:val="clear" w:pos="708"/>
          <w:tab w:val="left" w:pos="709" w:leader="none"/>
          <w:tab w:val="left" w:pos="851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2% -для материальных ресурсов (кроме металлоконструкций);</w:t>
      </w:r>
    </w:p>
    <w:p>
      <w:pPr>
        <w:pStyle w:val="ConsPlusNormal1"/>
        <w:numPr>
          <w:ilvl w:val="0"/>
          <w:numId w:val="9"/>
        </w:numPr>
        <w:tabs>
          <w:tab w:val="clear" w:pos="708"/>
          <w:tab w:val="left" w:pos="709" w:leader="none"/>
          <w:tab w:val="left" w:pos="851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0,75%- для металлоконструкций;</w:t>
      </w:r>
    </w:p>
    <w:p>
      <w:pPr>
        <w:pStyle w:val="ConsPlusNormal1"/>
        <w:numPr>
          <w:ilvl w:val="0"/>
          <w:numId w:val="9"/>
        </w:numPr>
        <w:tabs>
          <w:tab w:val="clear" w:pos="708"/>
          <w:tab w:val="left" w:pos="709" w:leader="none"/>
          <w:tab w:val="left" w:pos="851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1,2% - для оборудования.</w:t>
      </w:r>
    </w:p>
    <w:p>
      <w:pPr>
        <w:pStyle w:val="ListParagraph"/>
        <w:numPr>
          <w:ilvl w:val="0"/>
          <w:numId w:val="12"/>
        </w:numPr>
        <w:tabs>
          <w:tab w:val="clear" w:pos="708"/>
          <w:tab w:val="left" w:pos="709" w:leader="none"/>
          <w:tab w:val="left" w:pos="851" w:leader="none"/>
        </w:tabs>
        <w:spacing w:lineRule="auto" w:line="240" w:before="40" w:after="40"/>
        <w:ind w:left="0" w:firstLine="709"/>
        <w:contextualSpacing w:val="false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</w:t>
      </w:r>
      <w:r>
        <w:rPr>
          <w:rFonts w:ascii="Times New Roman" w:hAnsi="Times New Roman"/>
        </w:rPr>
        <w:t>Затраты на эксплуатацию строительной техники, не учтенной нормами и расценками, включенными в ФРСН, определяются Методом анализа ТКП  и включаются в Главу 9 ССРСС</w:t>
      </w:r>
      <w:r>
        <w:rPr>
          <w:rFonts w:ascii="Times New Roman" w:hAnsi="Times New Roman"/>
          <w:b/>
        </w:rPr>
        <w:t>.</w:t>
      </w:r>
    </w:p>
    <w:p>
      <w:pPr>
        <w:pStyle w:val="ListParagraph"/>
        <w:numPr>
          <w:ilvl w:val="0"/>
          <w:numId w:val="12"/>
        </w:numPr>
        <w:tabs>
          <w:tab w:val="clear" w:pos="708"/>
          <w:tab w:val="left" w:pos="709" w:leader="none"/>
          <w:tab w:val="left" w:pos="851" w:leader="none"/>
          <w:tab w:val="left" w:pos="1276" w:leader="none"/>
        </w:tabs>
        <w:spacing w:lineRule="auto" w:line="240" w:before="40" w:after="40"/>
        <w:ind w:left="0" w:firstLine="709"/>
        <w:contextualSpacing w:val="false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</w:rPr>
        <w:t xml:space="preserve">При формировании сметной стоимости в ЛСР (ЛС) отдельно выделяется сметная стоимость </w:t>
      </w:r>
      <w:r>
        <w:rPr>
          <w:rFonts w:ascii="Times New Roman" w:hAnsi="Times New Roman"/>
          <w:color w:val="000000"/>
        </w:rPr>
        <w:t>по видам оборудования: инженерное; технологическое; лабораторное; транспортные средства; инструмент для технологических процессов; производственный и хозяйственный инвентарь, в т.ч. мебель.</w:t>
      </w:r>
    </w:p>
    <w:p>
      <w:pPr>
        <w:pStyle w:val="ListParagraph"/>
        <w:numPr>
          <w:ilvl w:val="0"/>
          <w:numId w:val="12"/>
        </w:numPr>
        <w:tabs>
          <w:tab w:val="clear" w:pos="708"/>
          <w:tab w:val="left" w:pos="709" w:leader="none"/>
          <w:tab w:val="left" w:pos="851" w:leader="none"/>
          <w:tab w:val="left" w:pos="1276" w:leader="none"/>
        </w:tabs>
        <w:spacing w:lineRule="auto" w:line="240" w:before="40" w:after="40"/>
        <w:ind w:left="0" w:firstLine="709"/>
        <w:contextualSpacing w:val="false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</w:rPr>
        <w:t>При использовании в сметах коэффициентов и лимитированных затрат указывать обоснование из технической части, вводных указаний сборников или других нормативных документов и приложений к ним.</w:t>
      </w:r>
    </w:p>
    <w:p>
      <w:pPr>
        <w:pStyle w:val="ListParagraph"/>
        <w:numPr>
          <w:ilvl w:val="0"/>
          <w:numId w:val="12"/>
        </w:numPr>
        <w:tabs>
          <w:tab w:val="clear" w:pos="708"/>
          <w:tab w:val="left" w:pos="709" w:leader="none"/>
          <w:tab w:val="left" w:pos="851" w:leader="none"/>
          <w:tab w:val="left" w:pos="1276" w:leader="none"/>
        </w:tabs>
        <w:spacing w:lineRule="auto" w:line="240" w:before="40" w:after="40"/>
        <w:ind w:left="0" w:firstLine="709"/>
        <w:contextualSpacing w:val="false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Поправочные коэффициенты из технической части к расценкам (например, на демонтаж или для учета особых условий выполнения работ) учитываются индивидуально для каждой позиции и в выходных формах при выгрузке в формат «Excel» и указываются попозиционно.</w:t>
      </w:r>
      <w:r>
        <w:rPr>
          <w:rFonts w:ascii="Times New Roman" w:hAnsi="Times New Roman"/>
          <w:color w:val="FF0000"/>
        </w:rPr>
        <w:t xml:space="preserve"> </w:t>
      </w:r>
      <w:r>
        <w:rPr>
          <w:rFonts w:ascii="Times New Roman" w:hAnsi="Times New Roman"/>
        </w:rPr>
        <w:t>Коэффициенты, учитывающие усложняющие факторы и условия производства работ, могут применяться одновременно с другими коэффициентами, предусмотренными сметными нормативами, включенными в ФРСН. При одновременном применении коэффициенты перемножаются, результат округляется до семи знаков после запятой.</w:t>
      </w:r>
    </w:p>
    <w:p>
      <w:pPr>
        <w:pStyle w:val="ListParagraph"/>
        <w:numPr>
          <w:ilvl w:val="0"/>
          <w:numId w:val="12"/>
        </w:numPr>
        <w:tabs>
          <w:tab w:val="clear" w:pos="708"/>
          <w:tab w:val="left" w:pos="284" w:leader="none"/>
          <w:tab w:val="left" w:pos="709" w:leader="none"/>
          <w:tab w:val="left" w:pos="851" w:leader="none"/>
          <w:tab w:val="left" w:pos="1276" w:leader="none"/>
        </w:tabs>
        <w:spacing w:lineRule="auto" w:line="240" w:before="40" w:after="40"/>
        <w:ind w:left="0" w:firstLine="709"/>
        <w:contextualSpacing w:val="false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При внесении изменений в сметную документацию разрабатывается сводный сметный расчет, определяющий общую сметную стоимость строительства с учетом произведенных изменений проектной и (или) иной технической документации на полный объем работ с учетом объемов корректировки (исключаемых и дополнительных). Локальные сметные расчеты (сметы) разрабатываются отдельно на исключаемые и дополнительные объемы работ.</w:t>
      </w:r>
    </w:p>
    <w:p>
      <w:pPr>
        <w:pStyle w:val="ListParagraph"/>
        <w:numPr>
          <w:ilvl w:val="0"/>
          <w:numId w:val="12"/>
        </w:numPr>
        <w:tabs>
          <w:tab w:val="clear" w:pos="708"/>
          <w:tab w:val="left" w:pos="284" w:leader="none"/>
          <w:tab w:val="left" w:pos="709" w:leader="none"/>
          <w:tab w:val="left" w:pos="851" w:leader="none"/>
          <w:tab w:val="left" w:pos="1276" w:leader="none"/>
        </w:tabs>
        <w:spacing w:lineRule="auto" w:line="240" w:before="40" w:after="40"/>
        <w:ind w:left="0" w:firstLine="709"/>
        <w:contextualSpacing w:val="false"/>
        <w:jc w:val="both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Затраты</w:t>
      </w:r>
      <w:r>
        <w:rPr>
          <w:rFonts w:ascii="Times New Roman" w:hAnsi="Times New Roman"/>
        </w:rPr>
        <w:t xml:space="preserve"> на возведение временных зданий и сооружений учитывать в том случае, если они указаны в ПОС, Технических требованиях. Размер средств на устройство и ликвидацию временных зданий и сооружений определяются одним из способов: нормативным методом с применением нормативов затрат на строительство титульных временных зданий и сооружений, сведения о которых включены в ФРСН, расчетным методом на основании ЛСР (ЛС) или калькуляций, в соответствии с данными ПОС. Порядок расчета за возведенные временные здания и сооружения оговаривать в договоре подряда.</w:t>
      </w:r>
    </w:p>
    <w:p>
      <w:pPr>
        <w:pStyle w:val="ListParagraph"/>
        <w:numPr>
          <w:ilvl w:val="0"/>
          <w:numId w:val="12"/>
        </w:numPr>
        <w:tabs>
          <w:tab w:val="clear" w:pos="708"/>
          <w:tab w:val="left" w:pos="284" w:leader="none"/>
          <w:tab w:val="left" w:pos="709" w:leader="none"/>
          <w:tab w:val="left" w:pos="851" w:leader="none"/>
          <w:tab w:val="left" w:pos="1276" w:leader="none"/>
        </w:tabs>
        <w:spacing w:lineRule="auto" w:line="240" w:before="40" w:after="40"/>
        <w:ind w:left="0" w:firstLine="709"/>
        <w:contextualSpacing w:val="false"/>
        <w:jc w:val="both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Резерв</w:t>
      </w:r>
      <w:r>
        <w:rPr>
          <w:rFonts w:ascii="Times New Roman" w:hAnsi="Times New Roman"/>
        </w:rPr>
        <w:t xml:space="preserve"> средств на непредвиденные работы и затраты определять в Технических требованиях и начислять в смете в процентах в размере, указанном в утвержденных Технических требованиях.</w:t>
      </w:r>
    </w:p>
    <w:p>
      <w:pPr>
        <w:pStyle w:val="ListParagraph"/>
        <w:numPr>
          <w:ilvl w:val="0"/>
          <w:numId w:val="12"/>
        </w:numPr>
        <w:tabs>
          <w:tab w:val="clear" w:pos="708"/>
          <w:tab w:val="left" w:pos="284" w:leader="none"/>
          <w:tab w:val="left" w:pos="709" w:leader="none"/>
          <w:tab w:val="left" w:pos="851" w:leader="none"/>
          <w:tab w:val="left" w:pos="1276" w:leader="none"/>
        </w:tabs>
        <w:spacing w:lineRule="auto" w:line="240" w:before="40" w:after="40"/>
        <w:ind w:left="0" w:firstLine="709"/>
        <w:contextualSpacing w:val="false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 </w:t>
      </w:r>
      <w:r>
        <w:rPr>
          <w:rFonts w:ascii="Times New Roman" w:hAnsi="Times New Roman"/>
          <w:color w:val="000000"/>
        </w:rPr>
        <w:t>ЛСР</w:t>
      </w:r>
      <w:r>
        <w:rPr>
          <w:rFonts w:ascii="Times New Roman" w:hAnsi="Times New Roman"/>
        </w:rPr>
        <w:t xml:space="preserve"> (ЛС) указывать величину накладных расходов по видам строительных, ремонтно-строительных, монтажных и пусконаладочных работ, на основании нормативных документов, внесенных в ФРСН.</w:t>
      </w:r>
    </w:p>
    <w:p>
      <w:pPr>
        <w:pStyle w:val="ListParagraph"/>
        <w:numPr>
          <w:ilvl w:val="0"/>
          <w:numId w:val="12"/>
        </w:numPr>
        <w:tabs>
          <w:tab w:val="clear" w:pos="708"/>
          <w:tab w:val="left" w:pos="284" w:leader="none"/>
          <w:tab w:val="left" w:pos="709" w:leader="none"/>
          <w:tab w:val="left" w:pos="851" w:leader="none"/>
          <w:tab w:val="left" w:pos="1276" w:leader="none"/>
        </w:tabs>
        <w:spacing w:lineRule="auto" w:line="240" w:before="40" w:after="40"/>
        <w:ind w:left="0" w:firstLine="709"/>
        <w:contextualSpacing w:val="false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 </w:t>
      </w:r>
      <w:r>
        <w:rPr>
          <w:rFonts w:ascii="Times New Roman" w:hAnsi="Times New Roman"/>
          <w:color w:val="000000"/>
        </w:rPr>
        <w:t>ЛСР</w:t>
      </w:r>
      <w:r>
        <w:rPr>
          <w:rFonts w:ascii="Times New Roman" w:hAnsi="Times New Roman"/>
        </w:rPr>
        <w:t xml:space="preserve"> (ЛС) указывать величину сметной прибыли по видам строительных, ремонтно-строительных, монтажных и пусконаладочных работ, на основании актуальных нормативных документов, внесенных в ФРСН.</w:t>
      </w:r>
    </w:p>
    <w:p>
      <w:pPr>
        <w:pStyle w:val="ListParagraph"/>
        <w:numPr>
          <w:ilvl w:val="0"/>
          <w:numId w:val="12"/>
        </w:numPr>
        <w:tabs>
          <w:tab w:val="clear" w:pos="708"/>
          <w:tab w:val="left" w:pos="284" w:leader="none"/>
          <w:tab w:val="left" w:pos="709" w:leader="none"/>
          <w:tab w:val="left" w:pos="851" w:leader="none"/>
          <w:tab w:val="left" w:pos="1276" w:leader="none"/>
        </w:tabs>
        <w:spacing w:lineRule="auto" w:line="240" w:before="40" w:after="40"/>
        <w:ind w:left="0" w:firstLine="709"/>
        <w:contextualSpacing w:val="false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Сметная стоимость пусконаладочных работ определяется на основании утвержденных заказчиком программы и графика, а также пояснительной записки по расчету каналов с учетом исходных данных для локальных смет. Расчет стоимости пусконаладочных работ составлять с применением сметных нормативов, включенных в ФРСН. При определении сметной стоимости полного комплекса пусконаладочных работ на основании раздела </w:t>
      </w:r>
      <w:r>
        <w:rPr>
          <w:rFonts w:ascii="Times New Roman" w:hAnsi="Times New Roman"/>
          <w:lang w:val="en-US"/>
        </w:rPr>
        <w:t>VII</w:t>
      </w:r>
      <w:r>
        <w:rPr>
          <w:rFonts w:ascii="Times New Roman" w:hAnsi="Times New Roman"/>
        </w:rPr>
        <w:t xml:space="preserve">. Методики определения сметной стоимости строительства: </w:t>
      </w:r>
    </w:p>
    <w:p>
      <w:pPr>
        <w:pStyle w:val="ConsPlusNormal1"/>
        <w:numPr>
          <w:ilvl w:val="0"/>
          <w:numId w:val="4"/>
        </w:numPr>
        <w:tabs>
          <w:tab w:val="clear" w:pos="708"/>
          <w:tab w:val="left" w:pos="709" w:leader="none"/>
          <w:tab w:val="left" w:pos="851" w:leader="none"/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Затраты на проведение пусконаладочных работ «вхолостую» по объектам производственного и непроизводственного назначения, связанных с получением дохода от реализации товаров (услуг) включаются в Главу 9 «Прочие работы и затраты» (графы 7 и 8) ССРСС. В соответствии с заданием Заказчика и при обосновании программами ПНР (комплексного опробования оборудования), в сметной стоимости ПНР дополнительно могут учитываться: стоимость материальных, энергетических ресурсов, сырья и полуфабрикатов, используемых при проведении ПНР «вхолостую».</w:t>
      </w:r>
    </w:p>
    <w:p>
      <w:pPr>
        <w:pStyle w:val="ConsPlusNormal1"/>
        <w:numPr>
          <w:ilvl w:val="0"/>
          <w:numId w:val="4"/>
        </w:numPr>
        <w:tabs>
          <w:tab w:val="clear" w:pos="708"/>
          <w:tab w:val="left" w:pos="709" w:leader="none"/>
          <w:tab w:val="left" w:pos="851" w:leader="none"/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Пусконаладочные работы «под нагрузкой» для объектов производственного и непроизводственного назначения, связанных с получением дохода от реализации товаров (услуг) не относятся на сметную стоимость строительства и в сметной документации не учитываются. Исключением являются ПНР на особо опасных, технически сложных и уникальных объектах капитального строительства, где необходимость учета таких затрат определяется заказчиком.</w:t>
      </w:r>
    </w:p>
    <w:p>
      <w:pPr>
        <w:pStyle w:val="ConsPlusNormal1"/>
        <w:tabs>
          <w:tab w:val="clear" w:pos="708"/>
          <w:tab w:val="left" w:pos="709" w:leader="none"/>
          <w:tab w:val="left" w:pos="851" w:leader="none"/>
        </w:tabs>
        <w:spacing w:before="40" w:after="40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Данные работы оформляются отдельными локальными сметами в соответствии с Приложением № 1.5 к Требованиям по оформлению и составлению сметной документации на выполнение строительно-монтажных работ по программе реконструкции и техническому перевооружению и включаются в ССР. </w:t>
      </w:r>
    </w:p>
    <w:p>
      <w:pPr>
        <w:pStyle w:val="ListParagraph"/>
        <w:numPr>
          <w:ilvl w:val="0"/>
          <w:numId w:val="12"/>
        </w:numPr>
        <w:tabs>
          <w:tab w:val="clear" w:pos="708"/>
          <w:tab w:val="left" w:pos="709" w:leader="none"/>
          <w:tab w:val="left" w:pos="851" w:leader="none"/>
          <w:tab w:val="left" w:pos="1276" w:leader="none"/>
        </w:tabs>
        <w:spacing w:lineRule="auto" w:line="240" w:before="40" w:after="40"/>
        <w:ind w:left="0" w:firstLine="709"/>
        <w:contextualSpacing w:val="false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При необходимости учета командировочных расходов в сметной документации составляется расчет. Размер суточных командировочных расходов определять в соответствии с Федеральным законодательством и с учетом норм, определяемых внутренним документом организации.</w:t>
      </w:r>
    </w:p>
    <w:p>
      <w:pPr>
        <w:pStyle w:val="ConsPlusNormal1"/>
        <w:widowControl/>
        <w:tabs>
          <w:tab w:val="clear" w:pos="708"/>
          <w:tab w:val="left" w:pos="284" w:leader="none"/>
          <w:tab w:val="left" w:pos="709" w:leader="none"/>
          <w:tab w:val="left" w:pos="851" w:leader="none"/>
        </w:tabs>
        <w:spacing w:before="40" w:after="40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Лимиты командировочных расходов при производстве СМР и ПНР по статьям затрат следующие:</w:t>
      </w:r>
    </w:p>
    <w:p>
      <w:pPr>
        <w:pStyle w:val="ConsPlusNormal1"/>
        <w:numPr>
          <w:ilvl w:val="0"/>
          <w:numId w:val="4"/>
        </w:numPr>
        <w:tabs>
          <w:tab w:val="clear" w:pos="708"/>
          <w:tab w:val="left" w:pos="284" w:leader="none"/>
          <w:tab w:val="left" w:pos="709" w:leader="none"/>
          <w:tab w:val="left" w:pos="851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суточные - 700 руб./сутки;</w:t>
      </w:r>
    </w:p>
    <w:p>
      <w:pPr>
        <w:pStyle w:val="ConsPlusNormal1"/>
        <w:numPr>
          <w:ilvl w:val="0"/>
          <w:numId w:val="4"/>
        </w:numPr>
        <w:tabs>
          <w:tab w:val="clear" w:pos="708"/>
          <w:tab w:val="left" w:pos="284" w:leader="none"/>
          <w:tab w:val="left" w:pos="709" w:leader="none"/>
          <w:tab w:val="left" w:pos="851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проживание – 500 руб./сутки;</w:t>
      </w:r>
    </w:p>
    <w:p>
      <w:pPr>
        <w:pStyle w:val="ConsPlusNormal1"/>
        <w:numPr>
          <w:ilvl w:val="0"/>
          <w:numId w:val="4"/>
        </w:numPr>
        <w:tabs>
          <w:tab w:val="clear" w:pos="708"/>
          <w:tab w:val="left" w:pos="284" w:leader="none"/>
          <w:tab w:val="left" w:pos="709" w:leader="none"/>
          <w:tab w:val="left" w:pos="851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проезд: поезд (купе) или самолет (класс–эконом с багажом до 20 (двадцати) кг, ручная кладь до 10 (десяти) кг).</w:t>
      </w:r>
    </w:p>
    <w:p>
      <w:pPr>
        <w:pStyle w:val="ListParagraph"/>
        <w:numPr>
          <w:ilvl w:val="0"/>
          <w:numId w:val="12"/>
        </w:numPr>
        <w:tabs>
          <w:tab w:val="clear" w:pos="708"/>
          <w:tab w:val="left" w:pos="709" w:leader="none"/>
          <w:tab w:val="left" w:pos="851" w:leader="none"/>
          <w:tab w:val="left" w:pos="1276" w:leader="none"/>
        </w:tabs>
        <w:spacing w:lineRule="auto" w:line="240" w:before="40" w:after="40"/>
        <w:ind w:left="0" w:firstLine="709"/>
        <w:contextualSpacing w:val="false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При определении сметных затрат на демонтаж строительных конструкций и оборудования стоимость погрузки, перевозки (от строительной площадки до места утилизации или складирования) и разгрузки строительного мусора и материалов, полученных при разборке строительных конструкций и оборудования, следует учитывать дополнительно, на основании проектной и (или) иной технической документации, проекта организации работ по сносу объекта капитального строительства.</w:t>
      </w:r>
    </w:p>
    <w:p>
      <w:pPr>
        <w:pStyle w:val="ListParagraph"/>
        <w:numPr>
          <w:ilvl w:val="0"/>
          <w:numId w:val="12"/>
        </w:numPr>
        <w:tabs>
          <w:tab w:val="clear" w:pos="708"/>
          <w:tab w:val="left" w:pos="709" w:leader="none"/>
          <w:tab w:val="left" w:pos="851" w:leader="none"/>
          <w:tab w:val="left" w:pos="1276" w:leader="none"/>
        </w:tabs>
        <w:spacing w:lineRule="auto" w:line="240" w:before="40" w:after="40"/>
        <w:ind w:left="0" w:firstLine="709"/>
        <w:contextualSpacing w:val="false"/>
        <w:jc w:val="both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</w:rPr>
        <w:t xml:space="preserve">В </w:t>
      </w:r>
      <w:r>
        <w:rPr>
          <w:rFonts w:ascii="Times New Roman" w:hAnsi="Times New Roman"/>
          <w:color w:val="000000"/>
        </w:rPr>
        <w:t>локальных</w:t>
      </w:r>
      <w:r>
        <w:rPr>
          <w:rFonts w:ascii="Times New Roman" w:hAnsi="Times New Roman"/>
        </w:rPr>
        <w:t xml:space="preserve"> сметных расчетах построчные и итоговые суммы </w:t>
      </w:r>
      <w:r>
        <w:rPr>
          <w:rFonts w:ascii="Times New Roman" w:hAnsi="Times New Roman"/>
          <w:b/>
          <w:u w:val="single"/>
        </w:rPr>
        <w:t>округлять:</w:t>
      </w:r>
    </w:p>
    <w:p>
      <w:pPr>
        <w:pStyle w:val="ConsPlusNormal1"/>
        <w:numPr>
          <w:ilvl w:val="0"/>
          <w:numId w:val="4"/>
        </w:numPr>
        <w:tabs>
          <w:tab w:val="clear" w:pos="708"/>
          <w:tab w:val="left" w:pos="709" w:leader="none"/>
          <w:tab w:val="left" w:pos="851" w:leader="none"/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при ресурсно-индексном методе </w:t>
      </w:r>
      <w:r>
        <w:rPr>
          <w:rFonts w:cs="Times New Roman" w:ascii="Times New Roman" w:hAnsi="Times New Roman"/>
          <w:b/>
          <w:sz w:val="22"/>
          <w:szCs w:val="22"/>
        </w:rPr>
        <w:t>до двух знаков после запятой (до копеек);</w:t>
      </w:r>
    </w:p>
    <w:p>
      <w:pPr>
        <w:pStyle w:val="ConsPlusNormal1"/>
        <w:numPr>
          <w:ilvl w:val="0"/>
          <w:numId w:val="4"/>
        </w:numPr>
        <w:tabs>
          <w:tab w:val="clear" w:pos="708"/>
          <w:tab w:val="left" w:pos="709" w:leader="none"/>
          <w:tab w:val="left" w:pos="851" w:leader="none"/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в сметных расчетах на отдельные виды затрат - в рублях </w:t>
      </w:r>
      <w:r>
        <w:rPr>
          <w:rFonts w:cs="Times New Roman" w:ascii="Times New Roman" w:hAnsi="Times New Roman"/>
          <w:b/>
          <w:sz w:val="22"/>
          <w:szCs w:val="22"/>
        </w:rPr>
        <w:t>до целых единиц</w:t>
      </w:r>
      <w:r>
        <w:rPr>
          <w:rFonts w:cs="Times New Roman" w:ascii="Times New Roman" w:hAnsi="Times New Roman"/>
          <w:sz w:val="22"/>
          <w:szCs w:val="22"/>
        </w:rPr>
        <w:t>;</w:t>
      </w:r>
    </w:p>
    <w:p>
      <w:pPr>
        <w:pStyle w:val="ConsPlusNormal1"/>
        <w:numPr>
          <w:ilvl w:val="0"/>
          <w:numId w:val="4"/>
        </w:numPr>
        <w:spacing w:before="40" w:after="40"/>
        <w:ind w:left="851" w:hanging="142"/>
        <w:jc w:val="both"/>
        <w:rPr>
          <w:rFonts w:ascii="Times New Roman" w:hAnsi="Times New Roman" w:cs="Times New Roman"/>
          <w:sz w:val="22"/>
          <w:szCs w:val="22"/>
          <w:highlight w:val="lightGray"/>
        </w:rPr>
      </w:pPr>
      <w:r>
        <w:rPr>
          <w:rFonts w:cs="Times New Roman" w:ascii="Times New Roman" w:hAnsi="Times New Roman"/>
          <w:sz w:val="22"/>
          <w:szCs w:val="22"/>
        </w:rPr>
        <w:t xml:space="preserve">в объектных сметных расчетах (сметах), сводном сметном расчете и сводке затрат - в рублях </w:t>
      </w:r>
      <w:r>
        <w:rPr>
          <w:rFonts w:cs="Times New Roman" w:ascii="Times New Roman" w:hAnsi="Times New Roman"/>
          <w:b/>
          <w:sz w:val="22"/>
          <w:szCs w:val="22"/>
        </w:rPr>
        <w:t>до двух знаков после запятой (до копеек)</w:t>
      </w:r>
      <w:r>
        <w:rPr>
          <w:rFonts w:cs="Times New Roman" w:ascii="Times New Roman" w:hAnsi="Times New Roman"/>
          <w:sz w:val="22"/>
          <w:szCs w:val="22"/>
        </w:rPr>
        <w:t>. Величину НДС не указывать.</w:t>
      </w:r>
    </w:p>
    <w:p>
      <w:pPr>
        <w:pStyle w:val="ListParagraph"/>
        <w:numPr>
          <w:ilvl w:val="0"/>
          <w:numId w:val="12"/>
        </w:numPr>
        <w:tabs>
          <w:tab w:val="clear" w:pos="708"/>
          <w:tab w:val="left" w:pos="709" w:leader="none"/>
          <w:tab w:val="left" w:pos="851" w:leader="none"/>
          <w:tab w:val="left" w:pos="1276" w:leader="none"/>
        </w:tabs>
        <w:spacing w:lineRule="auto" w:line="240" w:before="40" w:after="40"/>
        <w:ind w:left="0" w:firstLine="709"/>
        <w:contextualSpacing w:val="false"/>
        <w:jc w:val="both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Выходные</w:t>
      </w:r>
      <w:r>
        <w:rPr>
          <w:rFonts w:ascii="Times New Roman" w:hAnsi="Times New Roman"/>
        </w:rPr>
        <w:t xml:space="preserve"> формы сметных расчетов должны соответствовать Образцу согласно Приложению 1.5.</w:t>
      </w:r>
    </w:p>
    <w:p>
      <w:pPr>
        <w:pStyle w:val="ListParagraph"/>
        <w:numPr>
          <w:ilvl w:val="0"/>
          <w:numId w:val="12"/>
        </w:numPr>
        <w:tabs>
          <w:tab w:val="clear" w:pos="708"/>
          <w:tab w:val="left" w:pos="709" w:leader="none"/>
          <w:tab w:val="left" w:pos="851" w:leader="none"/>
          <w:tab w:val="left" w:pos="1276" w:leader="none"/>
        </w:tabs>
        <w:spacing w:lineRule="auto" w:line="240" w:before="40" w:after="40"/>
        <w:ind w:left="0" w:firstLine="709"/>
        <w:contextualSpacing w:val="false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 связи с предоставлением Заказчиком услуг, указанных в разделе Технических требований «Иные условия поставки товаров, выполнения работ, оказания услуг»</w:t>
      </w:r>
      <w:r>
        <w:rPr>
          <w:rStyle w:val="FootnoteReference"/>
          <w:rFonts w:ascii="Times New Roman" w:hAnsi="Times New Roman"/>
        </w:rPr>
        <w:footnoteReference w:id="3"/>
      </w:r>
      <w:r>
        <w:rPr>
          <w:rFonts w:ascii="Times New Roman" w:hAnsi="Times New Roman"/>
        </w:rPr>
        <w:t>:</w:t>
      </w:r>
    </w:p>
    <w:p>
      <w:pPr>
        <w:pStyle w:val="ConsPlusNormal1"/>
        <w:widowControl/>
        <w:numPr>
          <w:ilvl w:val="1"/>
          <w:numId w:val="12"/>
        </w:numPr>
        <w:tabs>
          <w:tab w:val="clear" w:pos="708"/>
          <w:tab w:val="left" w:pos="709" w:leader="none"/>
          <w:tab w:val="left" w:pos="851" w:leader="none"/>
          <w:tab w:val="left" w:pos="1560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В </w:t>
      </w:r>
      <w:r>
        <w:rPr>
          <w:rFonts w:cs="Times New Roman" w:ascii="Times New Roman" w:hAnsi="Times New Roman"/>
          <w:color w:val="000000"/>
          <w:sz w:val="22"/>
          <w:szCs w:val="22"/>
        </w:rPr>
        <w:t>сметной</w:t>
      </w:r>
      <w:r>
        <w:rPr>
          <w:rFonts w:cs="Times New Roman" w:ascii="Times New Roman" w:hAnsi="Times New Roman"/>
          <w:sz w:val="22"/>
          <w:szCs w:val="22"/>
        </w:rPr>
        <w:t xml:space="preserve"> документации при определении стоимости работ по расценкам, указанным в сборниках «Базовых цен на работы по ремонту энергетического оборудования», затраты на услуги, предоставляемые Заказчиком подрядным организациям не учитывать. </w:t>
      </w:r>
    </w:p>
    <w:p>
      <w:pPr>
        <w:pStyle w:val="ConsPlusNormal1"/>
        <w:widowControl/>
        <w:numPr>
          <w:ilvl w:val="1"/>
          <w:numId w:val="12"/>
        </w:numPr>
        <w:tabs>
          <w:tab w:val="clear" w:pos="708"/>
          <w:tab w:val="left" w:pos="709" w:leader="none"/>
          <w:tab w:val="left" w:pos="851" w:leader="none"/>
          <w:tab w:val="left" w:pos="1560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Из норм и расценок, внесенных в ФРСН, при составлении сметной документации исключать затраты:</w:t>
      </w:r>
    </w:p>
    <w:p>
      <w:pPr>
        <w:pStyle w:val="ConsPlusNormal1"/>
        <w:widowControl/>
        <w:numPr>
          <w:ilvl w:val="2"/>
          <w:numId w:val="12"/>
        </w:numPr>
        <w:tabs>
          <w:tab w:val="clear" w:pos="708"/>
          <w:tab w:val="left" w:pos="709" w:leader="none"/>
          <w:tab w:val="left" w:pos="851" w:leader="none"/>
          <w:tab w:val="left" w:pos="1701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По предоставляемым грузоподъемным механизмам, учтенным в составе сметных норм и расценок:</w:t>
      </w:r>
    </w:p>
    <w:p>
      <w:pPr>
        <w:pStyle w:val="ConsPlusNormal1"/>
        <w:numPr>
          <w:ilvl w:val="0"/>
          <w:numId w:val="7"/>
        </w:numPr>
        <w:tabs>
          <w:tab w:val="clear" w:pos="708"/>
          <w:tab w:val="left" w:pos="709" w:leader="none"/>
          <w:tab w:val="left" w:pos="851" w:leader="none"/>
          <w:tab w:val="left" w:pos="1701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Исключать из норм и расценок предоставляемые грузоподъемные механизмы. </w:t>
      </w:r>
    </w:p>
    <w:p>
      <w:pPr>
        <w:pStyle w:val="ConsPlusNormal1"/>
        <w:widowControl/>
        <w:tabs>
          <w:tab w:val="clear" w:pos="708"/>
          <w:tab w:val="left" w:pos="709" w:leader="none"/>
          <w:tab w:val="left" w:pos="851" w:leader="none"/>
          <w:tab w:val="left" w:pos="1418" w:leader="none"/>
        </w:tabs>
        <w:spacing w:before="40" w:after="40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В случае использования подрядчиком собственных/арендованных механизмов полностью, либо частично, для выполнения конкретной работы на строительной площадке, из расценки на выполнение данных работ грузоподъемные механизмы не исключаются</w:t>
      </w:r>
    </w:p>
    <w:p>
      <w:pPr>
        <w:pStyle w:val="ConsPlusNormal1"/>
        <w:widowControl/>
        <w:numPr>
          <w:ilvl w:val="2"/>
          <w:numId w:val="12"/>
        </w:numPr>
        <w:tabs>
          <w:tab w:val="clear" w:pos="708"/>
          <w:tab w:val="left" w:pos="709" w:leader="none"/>
          <w:tab w:val="left" w:pos="851" w:leader="none"/>
          <w:tab w:val="left" w:pos="1701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По предоставляемой электроэнергии (в том числе, в составе стоимости машино-часа):</w:t>
      </w:r>
    </w:p>
    <w:p>
      <w:pPr>
        <w:pStyle w:val="ConsPlusNormal1"/>
        <w:numPr>
          <w:ilvl w:val="0"/>
          <w:numId w:val="7"/>
        </w:numPr>
        <w:tabs>
          <w:tab w:val="clear" w:pos="708"/>
          <w:tab w:val="left" w:pos="709" w:leader="none"/>
          <w:tab w:val="left" w:pos="851" w:leader="none"/>
          <w:tab w:val="left" w:pos="1701" w:leader="none"/>
        </w:tabs>
        <w:spacing w:before="40" w:after="40"/>
        <w:ind w:left="0" w:firstLine="709"/>
        <w:jc w:val="both"/>
        <w:rPr>
          <w:rFonts w:ascii="Times New Roman" w:hAnsi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Рассчитанная</w:t>
      </w:r>
      <w:r>
        <w:rPr>
          <w:rFonts w:ascii="Times New Roman" w:hAnsi="Times New Roman"/>
          <w:sz w:val="22"/>
          <w:szCs w:val="22"/>
        </w:rPr>
        <w:t xml:space="preserve"> сумма возврата стоимости электрической энергии (со знаком «–») учитывается в последней главе ССРСС, где имеется смета на СМР (как правило, в главах 1-7, если затраты по главе 8 определены на основании смет, то сумма возврата стоимости электрической энергии учитывается в главе 8)</w:t>
      </w:r>
      <w:r>
        <w:rPr>
          <w:rStyle w:val="FootnoteReference"/>
          <w:rFonts w:ascii="Times New Roman" w:hAnsi="Times New Roman"/>
          <w:sz w:val="22"/>
          <w:szCs w:val="22"/>
        </w:rPr>
        <w:footnoteReference w:id="4"/>
      </w:r>
      <w:r>
        <w:rPr>
          <w:rFonts w:ascii="Times New Roman" w:hAnsi="Times New Roman"/>
          <w:sz w:val="22"/>
          <w:szCs w:val="22"/>
        </w:rPr>
        <w:t xml:space="preserve">. Рекомендации по расчету суммы возврата стоимости электрической энергии указаны в приложении 4 к настоящим требованиям. </w:t>
      </w:r>
    </w:p>
    <w:p>
      <w:pPr>
        <w:pStyle w:val="ConsPlusNormal1"/>
        <w:numPr>
          <w:ilvl w:val="0"/>
          <w:numId w:val="7"/>
        </w:numPr>
        <w:tabs>
          <w:tab w:val="clear" w:pos="708"/>
          <w:tab w:val="left" w:pos="709" w:leader="none"/>
          <w:tab w:val="left" w:pos="851" w:leader="none"/>
          <w:tab w:val="left" w:pos="1701" w:leader="none"/>
        </w:tabs>
        <w:spacing w:before="40" w:after="40"/>
        <w:ind w:left="0" w:firstLine="709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Индекс пересчета в текущие цены применять аналогичный примененному в сметной документации.</w:t>
      </w:r>
    </w:p>
    <w:p>
      <w:pPr>
        <w:pStyle w:val="ConsPlusNormal1"/>
        <w:numPr>
          <w:ilvl w:val="0"/>
          <w:numId w:val="7"/>
        </w:numPr>
        <w:tabs>
          <w:tab w:val="clear" w:pos="708"/>
          <w:tab w:val="left" w:pos="709" w:leader="none"/>
          <w:tab w:val="left" w:pos="851" w:leader="none"/>
          <w:tab w:val="left" w:pos="1701" w:leader="none"/>
        </w:tabs>
        <w:spacing w:before="40" w:after="40"/>
        <w:ind w:left="0" w:firstLine="709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При применении индексов по статьям затрат в сметной документации для данного ресурса применять индекс на материалы.</w:t>
      </w:r>
    </w:p>
    <w:p>
      <w:pPr>
        <w:pStyle w:val="ConsPlusNormal1"/>
        <w:widowControl/>
        <w:numPr>
          <w:ilvl w:val="2"/>
          <w:numId w:val="12"/>
        </w:numPr>
        <w:tabs>
          <w:tab w:val="clear" w:pos="708"/>
          <w:tab w:val="left" w:pos="709" w:leader="none"/>
          <w:tab w:val="left" w:pos="851" w:leader="none"/>
          <w:tab w:val="left" w:pos="1701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По предоставляемому сжатому воздуху:</w:t>
      </w:r>
    </w:p>
    <w:p>
      <w:pPr>
        <w:pStyle w:val="ConsPlusNormal1"/>
        <w:numPr>
          <w:ilvl w:val="0"/>
          <w:numId w:val="7"/>
        </w:numPr>
        <w:tabs>
          <w:tab w:val="clear" w:pos="708"/>
          <w:tab w:val="left" w:pos="709" w:leader="none"/>
          <w:tab w:val="left" w:pos="851" w:leader="none"/>
          <w:tab w:val="left" w:pos="1701" w:leader="none"/>
        </w:tabs>
        <w:spacing w:before="40" w:after="40"/>
        <w:ind w:left="0" w:firstLine="709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Из норм и расценок исключать стоимость компрессоров. </w:t>
      </w:r>
    </w:p>
    <w:p>
      <w:pPr>
        <w:pStyle w:val="ConsPlusNormal1"/>
        <w:widowControl/>
        <w:numPr>
          <w:ilvl w:val="2"/>
          <w:numId w:val="12"/>
        </w:numPr>
        <w:tabs>
          <w:tab w:val="clear" w:pos="708"/>
          <w:tab w:val="left" w:pos="709" w:leader="none"/>
          <w:tab w:val="left" w:pos="851" w:leader="none"/>
          <w:tab w:val="left" w:pos="1701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По предоставляемой воде:</w:t>
      </w:r>
    </w:p>
    <w:p>
      <w:pPr>
        <w:pStyle w:val="ConsPlusNormal1"/>
        <w:numPr>
          <w:ilvl w:val="0"/>
          <w:numId w:val="7"/>
        </w:numPr>
        <w:tabs>
          <w:tab w:val="clear" w:pos="708"/>
          <w:tab w:val="left" w:pos="709" w:leader="none"/>
          <w:tab w:val="left" w:pos="851" w:leader="none"/>
          <w:tab w:val="left" w:pos="1701" w:leader="none"/>
        </w:tabs>
        <w:spacing w:before="40" w:after="40"/>
        <w:ind w:left="0" w:firstLine="709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Из норм и расценок исключать стоимость воды.</w:t>
      </w:r>
    </w:p>
    <w:p>
      <w:pPr>
        <w:pStyle w:val="ConsPlusNormal1"/>
        <w:widowControl/>
        <w:numPr>
          <w:ilvl w:val="2"/>
          <w:numId w:val="12"/>
        </w:numPr>
        <w:tabs>
          <w:tab w:val="clear" w:pos="708"/>
          <w:tab w:val="left" w:pos="709" w:leader="none"/>
          <w:tab w:val="left" w:pos="851" w:leader="none"/>
          <w:tab w:val="left" w:pos="1701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 </w:t>
      </w:r>
      <w:r>
        <w:rPr>
          <w:rFonts w:cs="Times New Roman" w:ascii="Times New Roman" w:hAnsi="Times New Roman"/>
          <w:sz w:val="22"/>
          <w:szCs w:val="22"/>
        </w:rPr>
        <w:t>Учтенные в составе накладных расходов:</w:t>
      </w:r>
    </w:p>
    <w:p>
      <w:pPr>
        <w:pStyle w:val="ConsPlusNormal1"/>
        <w:numPr>
          <w:ilvl w:val="0"/>
          <w:numId w:val="7"/>
        </w:numPr>
        <w:tabs>
          <w:tab w:val="clear" w:pos="708"/>
          <w:tab w:val="left" w:pos="709" w:leader="none"/>
          <w:tab w:val="left" w:pos="851" w:leader="none"/>
          <w:tab w:val="left" w:pos="1701" w:leader="none"/>
        </w:tabs>
        <w:spacing w:before="40" w:after="40"/>
        <w:ind w:left="0" w:firstLine="709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расходы по обеспечению санитарно-гигиенических и бытовых условий (удельный вес статьи затрат в накладных расходах - 3,02%);</w:t>
      </w:r>
    </w:p>
    <w:p>
      <w:pPr>
        <w:pStyle w:val="ConsPlusNormal1"/>
        <w:numPr>
          <w:ilvl w:val="0"/>
          <w:numId w:val="7"/>
        </w:numPr>
        <w:tabs>
          <w:tab w:val="clear" w:pos="708"/>
          <w:tab w:val="left" w:pos="709" w:leader="none"/>
          <w:tab w:val="left" w:pos="851" w:leader="none"/>
          <w:tab w:val="left" w:pos="1701" w:leader="none"/>
        </w:tabs>
        <w:spacing w:before="40" w:after="40"/>
        <w:ind w:left="0" w:firstLine="709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содержание пожарной и сторожевой охраны (удельный вес статьи затрат в накладных расходах - 2,01%);</w:t>
      </w:r>
    </w:p>
    <w:p>
      <w:pPr>
        <w:pStyle w:val="ConsPlusNormal1"/>
        <w:numPr>
          <w:ilvl w:val="0"/>
          <w:numId w:val="7"/>
        </w:numPr>
        <w:tabs>
          <w:tab w:val="clear" w:pos="708"/>
          <w:tab w:val="left" w:pos="709" w:leader="none"/>
          <w:tab w:val="left" w:pos="851" w:leader="none"/>
          <w:tab w:val="left" w:pos="1701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>расходы</w:t>
      </w:r>
      <w:r>
        <w:rPr>
          <w:rFonts w:cs="Times New Roman" w:ascii="Times New Roman" w:hAnsi="Times New Roman"/>
          <w:sz w:val="22"/>
          <w:szCs w:val="22"/>
        </w:rPr>
        <w:t xml:space="preserve"> по благоустройству и содержанию строительных площадок (удельный вес статьи затрат в накладных расходах – 1,61%)</w:t>
      </w:r>
    </w:p>
    <w:p>
      <w:pPr>
        <w:pStyle w:val="Normal"/>
        <w:tabs>
          <w:tab w:val="clear" w:pos="708"/>
          <w:tab w:val="left" w:pos="709" w:leader="none"/>
          <w:tab w:val="left" w:pos="851" w:leader="none"/>
          <w:tab w:val="left" w:pos="1418" w:leader="none"/>
        </w:tabs>
        <w:spacing w:lineRule="auto" w:line="240" w:before="40" w:after="4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исключаются путем применения понижающего коэффициента к нормативам накладных расходов на строительные работы в размере 0,93</w:t>
      </w:r>
      <w:r>
        <w:rPr>
          <w:rStyle w:val="FootnoteReference"/>
          <w:rFonts w:ascii="Times New Roman" w:hAnsi="Times New Roman"/>
          <w:vertAlign w:val="superscript"/>
        </w:rPr>
        <w:footnoteReference w:id="5"/>
      </w:r>
      <w:r>
        <w:rPr>
          <w:rFonts w:ascii="Times New Roman" w:hAnsi="Times New Roman"/>
        </w:rPr>
        <w:t>. Понижающий коэффициент не применяется к нормативам накладных расходов на ремонтно-строительные работы, работы по реконструкции зданий и сооружений (ГЭСН/ФЕР/ТЕР-2001-46), монтажные и пусконаладочные работы.</w:t>
      </w:r>
    </w:p>
    <w:p>
      <w:pPr>
        <w:pStyle w:val="ListParagraph"/>
        <w:numPr>
          <w:ilvl w:val="0"/>
          <w:numId w:val="12"/>
        </w:numPr>
        <w:tabs>
          <w:tab w:val="clear" w:pos="708"/>
          <w:tab w:val="left" w:pos="709" w:leader="none"/>
          <w:tab w:val="left" w:pos="851" w:leader="none"/>
          <w:tab w:val="left" w:pos="1276" w:leader="none"/>
        </w:tabs>
        <w:spacing w:lineRule="auto" w:line="240" w:before="40" w:after="40"/>
        <w:ind w:left="0" w:firstLine="709"/>
        <w:contextualSpacing w:val="false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 сметных расчетах при исключении и добавлении ресурсов (материалов) необходимо данные ресурсы относить в отдельную позицию, не допускается изменение внутри расценки.</w:t>
      </w:r>
    </w:p>
    <w:p>
      <w:pPr>
        <w:pStyle w:val="ListParagraph"/>
        <w:numPr>
          <w:ilvl w:val="0"/>
          <w:numId w:val="12"/>
        </w:numPr>
        <w:tabs>
          <w:tab w:val="clear" w:pos="708"/>
          <w:tab w:val="left" w:pos="709" w:leader="none"/>
          <w:tab w:val="left" w:pos="851" w:leader="none"/>
          <w:tab w:val="left" w:pos="1276" w:leader="none"/>
        </w:tabs>
        <w:spacing w:lineRule="auto" w:line="240" w:before="40" w:after="40"/>
        <w:ind w:left="0" w:firstLine="709"/>
        <w:contextualSpacing w:val="false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</w:rPr>
        <w:t xml:space="preserve">ССРСС разрабатывается на объект строительства и (или) этап строительства на основании итоговых стоимостных показателей объектных и (или) локальных сметных расчетов (смет), а также сметных расчетов на отдельные виды затрат в текущем уровне цен. ССРСС составляется при наличии двух и более смет. Обязательными приложениями к ССРСС являются локальные сметы, подписанные инженером-сметчиком Подрядчика, с обязательным указанием должности, наименования организации, Ф.И.О. подписанта. Наименование и нумерация глав сводного сметного расчета не подлежат корректировке вне зависимости от состава включаемых затрат. В случае отсутствия затрат, предусматриваемых соответствующей главой сводного сметного расчета, эта глава пропускается без изменения номеров последующих глав. </w:t>
      </w:r>
      <w:r>
        <w:rPr>
          <w:rFonts w:ascii="Times New Roman" w:hAnsi="Times New Roman"/>
          <w:color w:val="000000"/>
        </w:rPr>
        <w:t>Формат ССРСС выполнять по Образцу Приложения № 1.1 к Требованиям к оформлению и составлению сметной документации на выполнение строительно-монтажных работ по программе реконструкции и техническому перевооружению.</w:t>
      </w:r>
    </w:p>
    <w:p>
      <w:pPr>
        <w:pStyle w:val="ListParagraph"/>
        <w:numPr>
          <w:ilvl w:val="0"/>
          <w:numId w:val="12"/>
        </w:numPr>
        <w:tabs>
          <w:tab w:val="clear" w:pos="708"/>
          <w:tab w:val="left" w:pos="709" w:leader="none"/>
          <w:tab w:val="left" w:pos="851" w:leader="none"/>
          <w:tab w:val="left" w:pos="1276" w:leader="none"/>
        </w:tabs>
        <w:spacing w:lineRule="auto" w:line="240" w:before="40" w:after="40"/>
        <w:ind w:left="0" w:firstLine="709"/>
        <w:contextualSpacing w:val="false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Сметная документация должна быть представлена в двух вариантах:</w:t>
      </w:r>
    </w:p>
    <w:p>
      <w:pPr>
        <w:pStyle w:val="ConsPlusNormal1"/>
        <w:numPr>
          <w:ilvl w:val="0"/>
          <w:numId w:val="4"/>
        </w:numPr>
        <w:tabs>
          <w:tab w:val="clear" w:pos="708"/>
          <w:tab w:val="left" w:pos="709" w:leader="none"/>
          <w:tab w:val="left" w:pos="851" w:leader="none"/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на бумажном носителе (количество указано в конкурсной документации) Образец ЛСР в соответствии с приложением № 1.3 к Требованиям к оформлению и составлению сметной документации на выполнение строительно-монтажных работ по программе реконструкции и техническому перевооружению;</w:t>
      </w:r>
    </w:p>
    <w:p>
      <w:pPr>
        <w:pStyle w:val="ConsPlusNormal1"/>
        <w:numPr>
          <w:ilvl w:val="0"/>
          <w:numId w:val="4"/>
        </w:numPr>
        <w:tabs>
          <w:tab w:val="clear" w:pos="708"/>
          <w:tab w:val="left" w:pos="709" w:leader="none"/>
          <w:tab w:val="left" w:pos="851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на электронном носителе (в формате «xml» ПК «Гранд-Смета», «Excel», «pdf»), полностью соответствующему, бумажному варианту. Сметная документация в формате «Excel» должна быть представлена в одном файле с внесением ССР, ЛСР и других расчетов на отдельные листы (вкладки) документа.</w:t>
      </w:r>
    </w:p>
    <w:p>
      <w:pPr>
        <w:pStyle w:val="Normal"/>
        <w:spacing w:lineRule="auto" w:line="240" w:before="0" w:after="0"/>
        <w:ind w:left="5811" w:hanging="0"/>
        <w:rPr>
          <w:rFonts w:ascii="Times New Roman" w:hAnsi="Times New Roman"/>
          <w:color w:val="000000"/>
          <w:sz w:val="20"/>
          <w:szCs w:val="20"/>
          <w:highlight w:val="yellow"/>
        </w:rPr>
      </w:pPr>
      <w:r>
        <w:rPr>
          <w:rFonts w:ascii="Times New Roman" w:hAnsi="Times New Roman"/>
          <w:color w:val="000000"/>
          <w:sz w:val="20"/>
          <w:szCs w:val="20"/>
          <w:highlight w:val="yellow"/>
        </w:rPr>
      </w:r>
    </w:p>
    <w:p>
      <w:pPr>
        <w:pStyle w:val="Normal"/>
        <w:spacing w:lineRule="auto" w:line="240" w:before="0" w:after="0"/>
        <w:ind w:left="737" w:hanging="0"/>
        <w:rPr>
          <w:rFonts w:ascii="Times New Roman" w:hAnsi="Times New Roman"/>
          <w:color w:val="000000"/>
          <w:sz w:val="20"/>
          <w:szCs w:val="20"/>
          <w:highlight w:val="yellow"/>
        </w:rPr>
      </w:pPr>
      <w:r>
        <w:rPr>
          <w:rFonts w:ascii="Times New Roman" w:hAnsi="Times New Roman"/>
          <w:color w:val="000000"/>
          <w:sz w:val="20"/>
          <w:szCs w:val="20"/>
          <w:highlight w:val="yellow"/>
        </w:rPr>
      </w:r>
    </w:p>
    <w:p>
      <w:pPr>
        <w:pStyle w:val="Normal"/>
        <w:spacing w:lineRule="auto" w:line="240" w:before="0" w:after="0"/>
        <w:ind w:left="5811" w:hanging="0"/>
        <w:rPr>
          <w:rFonts w:ascii="Times New Roman" w:hAnsi="Times New Roman"/>
          <w:color w:val="000000"/>
          <w:sz w:val="20"/>
          <w:szCs w:val="20"/>
          <w:highlight w:val="yellow"/>
        </w:rPr>
      </w:pPr>
      <w:r>
        <w:rPr>
          <w:rFonts w:ascii="Times New Roman" w:hAnsi="Times New Roman"/>
          <w:color w:val="000000"/>
          <w:sz w:val="20"/>
          <w:szCs w:val="20"/>
          <w:highlight w:val="yellow"/>
        </w:rPr>
      </w:r>
    </w:p>
    <w:p>
      <w:pPr>
        <w:pStyle w:val="Normal"/>
        <w:spacing w:lineRule="auto" w:line="240" w:before="0" w:after="0"/>
        <w:ind w:left="5811" w:hanging="0"/>
        <w:rPr>
          <w:rFonts w:ascii="Times New Roman" w:hAnsi="Times New Roman"/>
          <w:color w:val="000000"/>
          <w:sz w:val="20"/>
          <w:szCs w:val="20"/>
          <w:highlight w:val="yellow"/>
        </w:rPr>
      </w:pPr>
      <w:r>
        <w:rPr>
          <w:rFonts w:ascii="Times New Roman" w:hAnsi="Times New Roman"/>
          <w:color w:val="000000"/>
          <w:sz w:val="20"/>
          <w:szCs w:val="20"/>
          <w:highlight w:val="yellow"/>
        </w:rPr>
      </w:r>
    </w:p>
    <w:p>
      <w:pPr>
        <w:pStyle w:val="Normal"/>
        <w:spacing w:lineRule="auto" w:line="240" w:before="0" w:after="0"/>
        <w:ind w:left="5811" w:hanging="0"/>
        <w:rPr>
          <w:rFonts w:ascii="Times New Roman" w:hAnsi="Times New Roman"/>
          <w:color w:val="000000"/>
          <w:sz w:val="20"/>
          <w:szCs w:val="20"/>
          <w:highlight w:val="yellow"/>
        </w:rPr>
      </w:pPr>
      <w:r>
        <w:rPr>
          <w:rFonts w:ascii="Times New Roman" w:hAnsi="Times New Roman"/>
          <w:color w:val="000000"/>
          <w:sz w:val="20"/>
          <w:szCs w:val="20"/>
          <w:highlight w:val="yellow"/>
        </w:rPr>
      </w:r>
      <w:r>
        <w:br w:type="page"/>
      </w:r>
    </w:p>
    <w:p>
      <w:pPr>
        <w:pStyle w:val="Normal"/>
        <w:spacing w:lineRule="auto" w:line="240" w:before="0" w:after="0"/>
        <w:ind w:left="5812" w:hanging="0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Приложение 1 </w:t>
      </w:r>
    </w:p>
    <w:p>
      <w:pPr>
        <w:pStyle w:val="Normal"/>
        <w:spacing w:lineRule="auto" w:line="240" w:before="0" w:after="0"/>
        <w:ind w:left="5811" w:hanging="0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</w:rPr>
        <w:t xml:space="preserve">к Требованиям к оформлению и составлению сметной документации </w:t>
      </w:r>
    </w:p>
    <w:p>
      <w:pPr>
        <w:pStyle w:val="Normal"/>
        <w:spacing w:lineRule="auto" w:line="240" w:before="0" w:after="0"/>
        <w:ind w:left="5811" w:hanging="0"/>
        <w:rPr>
          <w:rFonts w:ascii="Times New Roman" w:hAnsi="Times New Roman"/>
          <w:color w:val="000000"/>
          <w:sz w:val="20"/>
          <w:u w:val="single"/>
        </w:rPr>
      </w:pPr>
      <w:r>
        <w:rPr>
          <w:rFonts w:ascii="Times New Roman" w:hAnsi="Times New Roman"/>
          <w:color w:val="000000"/>
          <w:sz w:val="20"/>
          <w:u w:val="single"/>
        </w:rPr>
        <w:t>на выполнение работ по программе реконструкции и техническому перевооружению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Требования к оформлению и составлению сводного сметного расчета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>к договорам на реконструкцию, техническое перевооружение и дополнительным соглашениям к указанным договорам.</w:t>
      </w:r>
    </w:p>
    <w:p>
      <w:pPr>
        <w:pStyle w:val="ConsPlusNormal1"/>
        <w:widowControl/>
        <w:ind w:hanging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ConsPlusNormal1"/>
        <w:widowControl/>
        <w:numPr>
          <w:ilvl w:val="0"/>
          <w:numId w:val="5"/>
        </w:numPr>
        <w:tabs>
          <w:tab w:val="clear" w:pos="708"/>
          <w:tab w:val="left" w:pos="993" w:leader="none"/>
        </w:tabs>
        <w:ind w:left="0" w:firstLine="709"/>
        <w:jc w:val="both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t xml:space="preserve">При наличии двух и более сметных расчетов составлять ССРСС в текущем уровне цен по форме Приложения </w:t>
      </w:r>
      <w:r>
        <w:rPr>
          <w:rFonts w:cs="Times New Roman" w:ascii="Times New Roman" w:hAnsi="Times New Roman"/>
          <w:color w:val="000000"/>
          <w:sz w:val="22"/>
          <w:szCs w:val="22"/>
        </w:rPr>
        <w:t xml:space="preserve">№ 1.1 к </w:t>
      </w:r>
      <w:r>
        <w:rPr>
          <w:rFonts w:ascii="Times New Roman" w:hAnsi="Times New Roman"/>
          <w:color w:val="000000"/>
          <w:sz w:val="22"/>
          <w:szCs w:val="22"/>
        </w:rPr>
        <w:t xml:space="preserve">Требованиям к оформлению и составлению </w:t>
      </w:r>
      <w:r>
        <w:rPr>
          <w:rFonts w:cs="Times New Roman" w:ascii="Times New Roman" w:hAnsi="Times New Roman"/>
          <w:color w:val="000000"/>
          <w:sz w:val="22"/>
          <w:szCs w:val="22"/>
        </w:rPr>
        <w:t>сметной документации на выполнение строительно-монтажных работ по программе реконструкции и техническому перевооружению по образцу.</w:t>
      </w:r>
    </w:p>
    <w:p>
      <w:pPr>
        <w:pStyle w:val="ConsPlusNormal1"/>
        <w:widowControl/>
        <w:numPr>
          <w:ilvl w:val="0"/>
          <w:numId w:val="5"/>
        </w:numPr>
        <w:tabs>
          <w:tab w:val="clear" w:pos="708"/>
          <w:tab w:val="left" w:pos="993" w:leader="none"/>
        </w:tabs>
        <w:ind w:left="0" w:firstLine="709"/>
        <w:jc w:val="both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t xml:space="preserve">В случае заключений дополнительных соглашений к договору (далее - д/с), ССРСС необходимо выполнять в накопительной форме с учетом </w:t>
      </w:r>
      <w:r>
        <w:rPr>
          <w:rFonts w:cs="Times New Roman" w:ascii="Times New Roman" w:hAnsi="Times New Roman"/>
          <w:color w:val="000000"/>
          <w:sz w:val="22"/>
          <w:szCs w:val="22"/>
        </w:rPr>
        <w:t>ЛСР (</w:t>
      </w:r>
      <w:r>
        <w:rPr>
          <w:rFonts w:ascii="Times New Roman" w:hAnsi="Times New Roman"/>
          <w:color w:val="000000"/>
          <w:sz w:val="22"/>
        </w:rPr>
        <w:t xml:space="preserve">ЛС) к основному договору и ко всем заключенным д/с к нему. В итогах ССРСС (справочно) указывать суммы изменения (уменьшения, увеличения) основного договора на основании заключения д/с, которые определяются как разница между суммой ССРСС очередного д/с и стоимостью основного договора. Форма ССРСС с учетом заключения д/с к договору приведена в Приложении </w:t>
      </w:r>
      <w:r>
        <w:rPr>
          <w:rFonts w:cs="Times New Roman" w:ascii="Times New Roman" w:hAnsi="Times New Roman"/>
          <w:color w:val="000000"/>
          <w:sz w:val="22"/>
          <w:szCs w:val="22"/>
        </w:rPr>
        <w:t xml:space="preserve">№ 1.2 к </w:t>
      </w:r>
      <w:r>
        <w:rPr>
          <w:rFonts w:ascii="Times New Roman" w:hAnsi="Times New Roman"/>
          <w:color w:val="000000"/>
          <w:sz w:val="22"/>
          <w:szCs w:val="22"/>
        </w:rPr>
        <w:t xml:space="preserve">Требованиям к оформлению и составлению </w:t>
      </w:r>
      <w:r>
        <w:rPr>
          <w:rFonts w:cs="Times New Roman" w:ascii="Times New Roman" w:hAnsi="Times New Roman"/>
          <w:color w:val="000000"/>
          <w:sz w:val="22"/>
          <w:szCs w:val="22"/>
        </w:rPr>
        <w:t xml:space="preserve">сметной документации на выполнение строительно-монтажных работ по программе реконструкции и техническому перевооружению. </w:t>
      </w:r>
    </w:p>
    <w:p>
      <w:pPr>
        <w:pStyle w:val="ConsPlusNormal1"/>
        <w:widowControl/>
        <w:numPr>
          <w:ilvl w:val="0"/>
          <w:numId w:val="5"/>
        </w:numPr>
        <w:tabs>
          <w:tab w:val="clear" w:pos="708"/>
          <w:tab w:val="left" w:pos="993" w:leader="none"/>
        </w:tabs>
        <w:ind w:left="0" w:firstLine="709"/>
        <w:jc w:val="both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t xml:space="preserve">ЛСР (ЛС) разрабатываются отдельно на исключаемые и дополнительные объемы работ. </w:t>
      </w:r>
    </w:p>
    <w:p>
      <w:pPr>
        <w:pStyle w:val="ConsPlusNormal1"/>
        <w:widowControl/>
        <w:numPr>
          <w:ilvl w:val="0"/>
          <w:numId w:val="5"/>
        </w:numPr>
        <w:tabs>
          <w:tab w:val="clear" w:pos="708"/>
          <w:tab w:val="left" w:pos="993" w:leader="none"/>
        </w:tabs>
        <w:ind w:left="0" w:firstLine="709"/>
        <w:jc w:val="both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t>ЛС являются приложениями к ССРСС. Нумерация приложений указывается по мере включения ЛС в ССР в накопительной форме - по порядку.</w:t>
      </w:r>
    </w:p>
    <w:p>
      <w:pPr>
        <w:pStyle w:val="ConsPlusNormal1"/>
        <w:widowControl/>
        <w:numPr>
          <w:ilvl w:val="0"/>
          <w:numId w:val="5"/>
        </w:numPr>
        <w:tabs>
          <w:tab w:val="clear" w:pos="708"/>
          <w:tab w:val="left" w:pos="993" w:leader="none"/>
        </w:tabs>
        <w:ind w:left="0" w:firstLine="709"/>
        <w:jc w:val="both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t>Разнесение затрат (сумм ЛС) по графам и главам ССРСС осуществлять в соответствии с указаниями Методики определения сметной стоимости строительства.</w:t>
      </w:r>
    </w:p>
    <w:p>
      <w:pPr>
        <w:pStyle w:val="ConsPlusNormal1"/>
        <w:widowControl/>
        <w:numPr>
          <w:ilvl w:val="0"/>
          <w:numId w:val="5"/>
        </w:numPr>
        <w:tabs>
          <w:tab w:val="clear" w:pos="708"/>
          <w:tab w:val="left" w:pos="993" w:leader="none"/>
        </w:tabs>
        <w:ind w:left="0" w:firstLine="709"/>
        <w:jc w:val="both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t xml:space="preserve">В ССРСС, построчные и итоговые суммы </w:t>
      </w:r>
      <w:r>
        <w:rPr>
          <w:rFonts w:cs="Times New Roman" w:ascii="Times New Roman" w:hAnsi="Times New Roman"/>
          <w:color w:val="000000"/>
          <w:sz w:val="22"/>
          <w:szCs w:val="22"/>
        </w:rPr>
        <w:t xml:space="preserve">указывать </w:t>
      </w:r>
      <w:r>
        <w:rPr>
          <w:rFonts w:ascii="Times New Roman" w:hAnsi="Times New Roman"/>
          <w:color w:val="000000"/>
          <w:sz w:val="22"/>
        </w:rPr>
        <w:t>в рублях с округлением до двух знаков после запятой. Величину НДС не указывать.</w:t>
      </w:r>
    </w:p>
    <w:p>
      <w:pPr>
        <w:pStyle w:val="ConsPlusNormal1"/>
        <w:widowControl/>
        <w:numPr>
          <w:ilvl w:val="0"/>
          <w:numId w:val="5"/>
        </w:numPr>
        <w:tabs>
          <w:tab w:val="clear" w:pos="708"/>
          <w:tab w:val="left" w:pos="993" w:leader="none"/>
        </w:tabs>
        <w:ind w:left="0" w:firstLine="709"/>
        <w:jc w:val="both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t xml:space="preserve">В случае выполнения Подрядчиком полного комплекса пусконаладочных работ («вхолостую» и «под нагрузкой») сумму затрат на выполнение пусконаладочных работ «под нагрузкой» включать за итогом ССРСС. Таким образом, общая стоимость работ по договору (дополнительному соглашению) будет включать в себя все затраты Подрядчика в рамках конкретного договора, включая пусконаладочные работы «под нагрузкой» (для работ, выполняемых в рамках ТПиР). </w:t>
      </w:r>
    </w:p>
    <w:p>
      <w:pPr>
        <w:sectPr>
          <w:footerReference w:type="default" r:id="rId18"/>
          <w:footerReference w:type="first" r:id="rId19"/>
          <w:footnotePr>
            <w:numFmt w:val="decimal"/>
            <w:numRestart w:val="eachPage"/>
          </w:footnotePr>
          <w:type w:val="nextPage"/>
          <w:pgSz w:w="11906" w:h="16838"/>
          <w:pgMar w:left="1276" w:right="707" w:gutter="0" w:header="0" w:top="851" w:footer="709" w:bottom="766"/>
          <w:pgNumType w:fmt="decimal"/>
          <w:formProt w:val="false"/>
          <w:textDirection w:val="lrTb"/>
          <w:docGrid w:type="default" w:linePitch="360" w:charSpace="4096"/>
        </w:sectPr>
        <w:pStyle w:val="ConsPlusNormal1"/>
        <w:widowControl/>
        <w:ind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rmal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onsPlusNormal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</w:t>
      </w:r>
    </w:p>
    <w:p>
      <w:pPr>
        <w:pStyle w:val="ConsPlusNormal1"/>
        <w:ind w:left="57" w:firstLine="72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</w:t>
      </w:r>
      <w:r>
        <w:rPr>
          <w:rFonts w:ascii="Times New Roman" w:hAnsi="Times New Roman"/>
        </w:rPr>
        <w:t>Приложение № 1.1</w:t>
      </w:r>
    </w:p>
    <w:p>
      <w:pPr>
        <w:pStyle w:val="ConsPlusNormal1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</w:t>
      </w:r>
    </w:p>
    <w:p>
      <w:pPr>
        <w:pStyle w:val="ConsPlusNormal1"/>
        <w:ind w:left="5811" w:hanging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Требованиям к оформлению и составлению сметной документации на выполнение работ по программе реконструкции и техническому перевооружению </w:t>
      </w:r>
    </w:p>
    <w:p>
      <w:pPr>
        <w:pStyle w:val="ConsPlusNormal1"/>
        <w:ind w:left="5811" w:firstLine="72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</w:t>
      </w:r>
      <w:r>
        <w:rPr>
          <w:rFonts w:ascii="Times New Roman" w:hAnsi="Times New Roman"/>
        </w:rPr>
        <w:t xml:space="preserve">Приложение №___                                                                                    к договору от_______№_____ </w:t>
      </w:r>
      <w:r>
        <w:rPr>
          <w:rFonts w:ascii="Times New Roman" w:hAnsi="Times New Roman"/>
          <w:lang w:val="en-US"/>
        </w:rPr>
        <w:t xml:space="preserve"> </w:t>
      </w:r>
    </w:p>
    <w:p>
      <w:pPr>
        <w:pStyle w:val="ConsPlusNormal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>
      <w:pPr>
        <w:pStyle w:val="ConsPlusNormal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tbl>
      <w:tblPr>
        <w:tblW w:w="10915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noVBand="0" w:noHBand="0" w:lastColumn="0" w:firstColumn="0" w:lastRow="0" w:firstRow="0"/>
      </w:tblPr>
      <w:tblGrid>
        <w:gridCol w:w="3464"/>
        <w:gridCol w:w="7450"/>
      </w:tblGrid>
      <w:tr>
        <w:trPr>
          <w:trHeight w:val="1158" w:hRule="atLeast"/>
        </w:trPr>
        <w:tc>
          <w:tcPr>
            <w:tcW w:w="3464" w:type="dxa"/>
            <w:tcBorders/>
            <w:shd w:color="auto" w:fill="auto" w:val="clear"/>
          </w:tcPr>
          <w:p>
            <w:pPr>
              <w:pStyle w:val="ConsPlusNormal1"/>
              <w:widowControl w:val="false"/>
              <w:ind w:left="283"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СОГЛАСОВАНО</w:t>
            </w:r>
            <w:r>
              <w:rPr>
                <w:rFonts w:cs="Times New Roman" w:ascii="Times New Roman" w:hAnsi="Times New Roman"/>
              </w:rPr>
              <w:t xml:space="preserve">:                                           </w:t>
            </w:r>
          </w:p>
          <w:p>
            <w:pPr>
              <w:pStyle w:val="ConsPlusNormal1"/>
              <w:widowControl w:val="false"/>
              <w:ind w:right="-909"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______________ (Подрядчик)       </w:t>
            </w:r>
          </w:p>
          <w:p>
            <w:pPr>
              <w:pStyle w:val="ConsPlusNormal1"/>
              <w:widowControl w:val="false"/>
              <w:tabs>
                <w:tab w:val="clear" w:pos="708"/>
                <w:tab w:val="left" w:pos="0" w:leader="none"/>
              </w:tabs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_______________(ФИО)</w:t>
            </w:r>
          </w:p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ConsPlusNormal1"/>
              <w:widowControl w:val="false"/>
              <w:ind w:left="142" w:hanging="142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Заказчик:______________________</w:t>
            </w:r>
          </w:p>
        </w:tc>
        <w:tc>
          <w:tcPr>
            <w:tcW w:w="7450" w:type="dxa"/>
            <w:tcBorders/>
            <w:shd w:color="auto" w:fill="auto" w:val="clear"/>
          </w:tcPr>
          <w:p>
            <w:pPr>
              <w:pStyle w:val="ConsPlusNormal1"/>
              <w:widowControl w:val="false"/>
              <w:ind w:right="-3855" w:firstLine="72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cs="Times New Roman" w:ascii="Times New Roman" w:hAnsi="Times New Roman"/>
                <w:b/>
              </w:rPr>
              <w:t>УТВЕРЖДАЮ:</w:t>
            </w:r>
          </w:p>
          <w:p>
            <w:pPr>
              <w:pStyle w:val="ConsPlusNormal1"/>
              <w:widowControl w:val="false"/>
              <w:ind w:right="-909" w:hanging="0"/>
              <w:rPr>
                <w:rFonts w:ascii="Times New Roman" w:hAnsi="Times New Roman" w:cs="Times New Roman"/>
                <w:sz w:val="22"/>
              </w:rPr>
            </w:pPr>
            <w:r>
              <w:rPr>
                <w:rFonts w:cs="Times New Roman" w:ascii="Times New Roman" w:hAnsi="Times New Roman"/>
                <w:b/>
              </w:rPr>
              <w:t xml:space="preserve">                                                              </w:t>
            </w:r>
            <w:r>
              <w:rPr>
                <w:rFonts w:cs="Times New Roman" w:ascii="Times New Roman" w:hAnsi="Times New Roman"/>
                <w:b/>
                <w:sz w:val="22"/>
              </w:rPr>
              <w:t xml:space="preserve">                             </w:t>
            </w:r>
            <w:r>
              <w:rPr>
                <w:rFonts w:cs="Times New Roman" w:ascii="Times New Roman" w:hAnsi="Times New Roman"/>
                <w:sz w:val="22"/>
              </w:rPr>
              <w:t xml:space="preserve">_____________ (Заказчик)       </w:t>
            </w:r>
          </w:p>
          <w:p>
            <w:pPr>
              <w:pStyle w:val="ConsPlusNormal1"/>
              <w:widowControl w:val="false"/>
              <w:ind w:left="2551" w:firstLine="72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cs="Times New Roman" w:ascii="Times New Roman" w:hAnsi="Times New Roman"/>
                <w:sz w:val="22"/>
              </w:rPr>
              <w:t xml:space="preserve">                  </w:t>
            </w:r>
            <w:r>
              <w:rPr>
                <w:rFonts w:cs="Times New Roman" w:ascii="Times New Roman" w:hAnsi="Times New Roman"/>
                <w:sz w:val="22"/>
              </w:rPr>
              <w:t>______________(</w:t>
            </w:r>
            <w:r>
              <w:rPr>
                <w:rFonts w:cs="Times New Roman" w:ascii="Times New Roman" w:hAnsi="Times New Roman"/>
              </w:rPr>
              <w:t>ФИО)</w:t>
            </w:r>
          </w:p>
        </w:tc>
      </w:tr>
      <w:tr>
        <w:trPr/>
        <w:tc>
          <w:tcPr>
            <w:tcW w:w="3464" w:type="dxa"/>
            <w:tcBorders/>
            <w:shd w:color="auto"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(наименование организации)</w:t>
            </w:r>
          </w:p>
        </w:tc>
        <w:tc>
          <w:tcPr>
            <w:tcW w:w="7450" w:type="dxa"/>
            <w:tcBorders/>
            <w:shd w:color="auto" w:fill="auto" w:val="clear"/>
          </w:tcPr>
          <w:p>
            <w:pPr>
              <w:pStyle w:val="ConsPlusNormal1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10914" w:type="dxa"/>
            <w:gridSpan w:val="2"/>
            <w:tcBorders/>
            <w:shd w:color="auto" w:fill="auto" w:val="clear"/>
          </w:tcPr>
          <w:p>
            <w:pPr>
              <w:pStyle w:val="ConsPlusNormal1"/>
              <w:widowControl w:val="false"/>
              <w:ind w:hanging="0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Утвержден: __ ______________202__ г.</w:t>
            </w:r>
          </w:p>
        </w:tc>
      </w:tr>
    </w:tbl>
    <w:p>
      <w:pPr>
        <w:pStyle w:val="ConsPlusNormal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</w:r>
    </w:p>
    <w:tbl>
      <w:tblPr>
        <w:tblW w:w="10977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noVBand="0" w:noHBand="0" w:lastColumn="0" w:firstColumn="0" w:lastRow="0" w:firstRow="0"/>
      </w:tblPr>
      <w:tblGrid>
        <w:gridCol w:w="5215"/>
        <w:gridCol w:w="2664"/>
        <w:gridCol w:w="3098"/>
      </w:tblGrid>
      <w:tr>
        <w:trPr/>
        <w:tc>
          <w:tcPr>
            <w:tcW w:w="5215" w:type="dxa"/>
            <w:tcBorders/>
          </w:tcPr>
          <w:p>
            <w:pPr>
              <w:pStyle w:val="ConsPlusNormal1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Сводный сметный расчет сметной стоимостью</w:t>
            </w:r>
          </w:p>
        </w:tc>
        <w:tc>
          <w:tcPr>
            <w:tcW w:w="2664" w:type="dxa"/>
            <w:tcBorders>
              <w:bottom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098" w:type="dxa"/>
            <w:tcBorders/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руб.</w:t>
            </w:r>
          </w:p>
        </w:tc>
      </w:tr>
      <w:tr>
        <w:trPr/>
        <w:tc>
          <w:tcPr>
            <w:tcW w:w="10977" w:type="dxa"/>
            <w:gridSpan w:val="3"/>
            <w:tcBorders>
              <w:bottom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10977" w:type="dxa"/>
            <w:gridSpan w:val="3"/>
            <w:tcBorders>
              <w:top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(ссылка на документ об утверждении)</w:t>
            </w:r>
          </w:p>
        </w:tc>
      </w:tr>
      <w:tr>
        <w:trPr/>
        <w:tc>
          <w:tcPr>
            <w:tcW w:w="10977" w:type="dxa"/>
            <w:gridSpan w:val="3"/>
            <w:tcBorders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СВОДНЫЙ СМЕТНЫЙ РАСЧЕТ </w:t>
            </w:r>
          </w:p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N ССРСС-________</w:t>
            </w:r>
          </w:p>
        </w:tc>
      </w:tr>
      <w:tr>
        <w:trPr>
          <w:trHeight w:val="22" w:hRule="atLeast"/>
        </w:trPr>
        <w:tc>
          <w:tcPr>
            <w:tcW w:w="10977" w:type="dxa"/>
            <w:gridSpan w:val="3"/>
            <w:tcBorders>
              <w:bottom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10977" w:type="dxa"/>
            <w:gridSpan w:val="3"/>
            <w:tcBorders>
              <w:top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(наименование стройки)</w:t>
            </w:r>
          </w:p>
        </w:tc>
      </w:tr>
      <w:tr>
        <w:trPr/>
        <w:tc>
          <w:tcPr>
            <w:tcW w:w="10977" w:type="dxa"/>
            <w:gridSpan w:val="3"/>
            <w:tcBorders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Составлен в текущих ценах, соответствующих периоду выполнения работ по Договору_________________ 20__ г.</w:t>
            </w:r>
          </w:p>
        </w:tc>
      </w:tr>
    </w:tbl>
    <w:p>
      <w:pPr>
        <w:pStyle w:val="ConsPlusNormal1"/>
        <w:jc w:val="center"/>
        <w:rPr/>
      </w:pPr>
      <w:r>
        <w:rPr/>
      </w:r>
    </w:p>
    <w:tbl>
      <w:tblPr>
        <w:tblW w:w="10982" w:type="dxa"/>
        <w:jc w:val="left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noVBand="0" w:noHBand="0" w:lastColumn="0" w:firstColumn="0" w:lastRow="0" w:firstRow="0"/>
      </w:tblPr>
      <w:tblGrid>
        <w:gridCol w:w="633"/>
        <w:gridCol w:w="994"/>
        <w:gridCol w:w="282"/>
        <w:gridCol w:w="1271"/>
        <w:gridCol w:w="363"/>
        <w:gridCol w:w="1343"/>
        <w:gridCol w:w="425"/>
        <w:gridCol w:w="1135"/>
        <w:gridCol w:w="1558"/>
        <w:gridCol w:w="1418"/>
        <w:gridCol w:w="1558"/>
      </w:tblGrid>
      <w:tr>
        <w:trPr>
          <w:trHeight w:val="212" w:hRule="atLeast"/>
        </w:trPr>
        <w:tc>
          <w:tcPr>
            <w:tcW w:w="6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Nп/п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Обоснование</w:t>
            </w:r>
          </w:p>
        </w:tc>
        <w:tc>
          <w:tcPr>
            <w:tcW w:w="155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Наименование глав, объектов капитального строительства, работ и затрат</w:t>
            </w:r>
          </w:p>
        </w:tc>
        <w:tc>
          <w:tcPr>
            <w:tcW w:w="780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Сметная стоимость, руб.</w:t>
            </w:r>
          </w:p>
        </w:tc>
      </w:tr>
      <w:tr>
        <w:trPr>
          <w:trHeight w:val="1019" w:hRule="atLeast"/>
        </w:trPr>
        <w:tc>
          <w:tcPr>
            <w:tcW w:w="63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9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553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6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строительных (ремонтно-строительных, ремонтно-реставрационных) работ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left="191" w:hanging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монтажных работ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8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оборудования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left="-113"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прочих затрат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всего</w:t>
            </w:r>
          </w:p>
        </w:tc>
      </w:tr>
      <w:tr>
        <w:trPr>
          <w:trHeight w:val="273" w:hRule="atLeast"/>
        </w:trPr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  <w:p>
            <w:pPr>
              <w:pStyle w:val="ConsPlusNormal1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5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  <w:p>
            <w:pPr>
              <w:pStyle w:val="ConsPlusNormal1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  <w:p>
            <w:pPr>
              <w:pStyle w:val="ConsPlusNormal1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  <w:p>
            <w:pPr>
              <w:pStyle w:val="ConsPlusNormal1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  <w:p>
            <w:pPr>
              <w:pStyle w:val="ConsPlusNormal1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  <w:p>
            <w:pPr>
              <w:pStyle w:val="ConsPlusNormal1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  <w:p>
            <w:pPr>
              <w:pStyle w:val="ConsPlusNormal1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8</w:t>
            </w:r>
          </w:p>
        </w:tc>
      </w:tr>
      <w:tr>
        <w:trPr/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327" w:hRule="atLeast"/>
        </w:trPr>
        <w:tc>
          <w:tcPr>
            <w:tcW w:w="35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tabs>
                <w:tab w:val="clear" w:pos="708"/>
                <w:tab w:val="left" w:pos="567" w:leader="none"/>
                <w:tab w:val="left" w:pos="2091" w:leader="none"/>
              </w:tabs>
              <w:ind w:left="170" w:hanging="425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 xml:space="preserve">     </w:t>
            </w:r>
            <w:r>
              <w:rPr>
                <w:rFonts w:cs="Times New Roman" w:ascii="Times New Roman" w:hAnsi="Times New Roman"/>
                <w:sz w:val="18"/>
                <w:szCs w:val="18"/>
              </w:rPr>
              <w:t>Руководитель</w:t>
            </w:r>
          </w:p>
          <w:p>
            <w:pPr>
              <w:pStyle w:val="ConsPlusNormal1"/>
              <w:widowControl w:val="false"/>
              <w:tabs>
                <w:tab w:val="clear" w:pos="708"/>
                <w:tab w:val="left" w:pos="851" w:leader="none"/>
              </w:tabs>
              <w:ind w:left="170" w:hanging="14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проектной организации</w:t>
            </w:r>
          </w:p>
        </w:tc>
        <w:tc>
          <w:tcPr>
            <w:tcW w:w="743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/>
        <w:tc>
          <w:tcPr>
            <w:tcW w:w="35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743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[подпись (инициалы, фамилия)]</w:t>
            </w:r>
          </w:p>
        </w:tc>
      </w:tr>
      <w:tr>
        <w:trPr/>
        <w:tc>
          <w:tcPr>
            <w:tcW w:w="35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Главный инженер проекта</w:t>
            </w:r>
          </w:p>
        </w:tc>
        <w:tc>
          <w:tcPr>
            <w:tcW w:w="743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/>
        <w:tc>
          <w:tcPr>
            <w:tcW w:w="19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left="-907" w:firstLine="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Начальник</w:t>
            </w:r>
          </w:p>
        </w:tc>
        <w:tc>
          <w:tcPr>
            <w:tcW w:w="1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7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6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отдела</w:t>
            </w:r>
          </w:p>
        </w:tc>
        <w:tc>
          <w:tcPr>
            <w:tcW w:w="56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/>
        <w:tc>
          <w:tcPr>
            <w:tcW w:w="19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19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(наименование)</w:t>
            </w:r>
          </w:p>
        </w:tc>
        <w:tc>
          <w:tcPr>
            <w:tcW w:w="17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56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[подпись (инициалы, фамилия)]</w:t>
            </w:r>
          </w:p>
        </w:tc>
      </w:tr>
      <w:tr>
        <w:trPr/>
        <w:tc>
          <w:tcPr>
            <w:tcW w:w="19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left="284" w:firstLine="28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Заказчик</w:t>
            </w:r>
          </w:p>
        </w:tc>
        <w:tc>
          <w:tcPr>
            <w:tcW w:w="90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[подпись (инициалы, фамилия)]</w:t>
            </w:r>
          </w:p>
        </w:tc>
      </w:tr>
    </w:tbl>
    <w:p>
      <w:pPr>
        <w:pStyle w:val="Normal"/>
        <w:spacing w:lineRule="auto" w:line="240" w:before="0" w:after="0"/>
        <w:ind w:left="357" w:firstLine="72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pacing w:lineRule="auto" w:line="240" w:before="0" w:after="0"/>
        <w:ind w:left="357" w:firstLine="72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pacing w:lineRule="auto" w:line="240" w:before="0" w:after="0"/>
        <w:ind w:left="357" w:firstLine="72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pacing w:lineRule="auto" w:line="240" w:before="0" w:after="0"/>
        <w:ind w:left="357" w:firstLine="72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pacing w:lineRule="auto" w:line="240" w:before="0" w:after="0"/>
        <w:ind w:left="357" w:firstLine="72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pacing w:lineRule="auto" w:line="240" w:before="0" w:after="0"/>
        <w:ind w:left="397" w:firstLine="72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>
      <w:pPr>
        <w:pStyle w:val="Normal"/>
        <w:spacing w:lineRule="auto" w:line="240" w:before="0" w:after="0"/>
        <w:ind w:left="8646" w:firstLine="72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>
      <w:pPr>
        <w:pStyle w:val="Normal"/>
        <w:spacing w:lineRule="auto" w:line="240" w:before="0" w:after="0"/>
        <w:ind w:left="8646" w:firstLine="72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Приложение №1.2</w:t>
      </w:r>
    </w:p>
    <w:p>
      <w:pPr>
        <w:pStyle w:val="ConsPlusNormal1"/>
        <w:ind w:left="5811"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Требованиям к оформлению и составлению               </w:t>
      </w:r>
    </w:p>
    <w:p>
      <w:pPr>
        <w:pStyle w:val="ConsPlusNormal1"/>
        <w:ind w:left="5811"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сметной документации на выполнение работ </w:t>
      </w:r>
    </w:p>
    <w:p>
      <w:pPr>
        <w:pStyle w:val="ConsPlusNormal1"/>
        <w:ind w:left="5811"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по программе реконструкции и</w:t>
      </w:r>
    </w:p>
    <w:p>
      <w:pPr>
        <w:pStyle w:val="ConsPlusNormal1"/>
        <w:ind w:left="5811"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техническому перевооружению</w:t>
      </w:r>
    </w:p>
    <w:p>
      <w:pPr>
        <w:pStyle w:val="ConsPlusNormal1"/>
        <w:ind w:left="5811" w:firstLine="72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onsPlusNormal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onsPlusNormal1"/>
        <w:tabs>
          <w:tab w:val="clear" w:pos="708"/>
          <w:tab w:val="left" w:pos="6804" w:leader="none"/>
        </w:tabs>
        <w:ind w:left="5811" w:hanging="42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</w:t>
      </w:r>
      <w:r>
        <w:rPr>
          <w:rFonts w:ascii="Times New Roman" w:hAnsi="Times New Roman"/>
        </w:rPr>
        <w:t>Приложение №___</w:t>
      </w:r>
    </w:p>
    <w:p>
      <w:pPr>
        <w:pStyle w:val="ConsPlusNormal1"/>
        <w:tabs>
          <w:tab w:val="clear" w:pos="708"/>
          <w:tab w:val="left" w:pos="5387" w:leader="none"/>
        </w:tabs>
        <w:ind w:left="6521" w:hanging="992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</w:t>
      </w:r>
      <w:r>
        <w:rPr>
          <w:rFonts w:ascii="Times New Roman" w:hAnsi="Times New Roman"/>
        </w:rPr>
        <w:t xml:space="preserve">к дополнительному соглашению от ___ № ___                                                                                                                              к договору от________№_____ </w:t>
      </w:r>
    </w:p>
    <w:tbl>
      <w:tblPr>
        <w:tblW w:w="10915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noVBand="0" w:noHBand="0" w:lastColumn="0" w:firstColumn="0" w:lastRow="0" w:firstRow="0"/>
      </w:tblPr>
      <w:tblGrid>
        <w:gridCol w:w="1224"/>
        <w:gridCol w:w="9690"/>
      </w:tblGrid>
      <w:tr>
        <w:trPr/>
        <w:tc>
          <w:tcPr>
            <w:tcW w:w="1224" w:type="dxa"/>
            <w:tcBorders/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                                 </w:t>
            </w:r>
            <w:r>
              <w:rPr>
                <w:rFonts w:cs="Times New Roman" w:ascii="Times New Roman" w:hAnsi="Times New Roman"/>
              </w:rPr>
              <w:t>Заказчик</w:t>
            </w:r>
          </w:p>
        </w:tc>
        <w:tc>
          <w:tcPr>
            <w:tcW w:w="9690" w:type="dxa"/>
            <w:tcBorders>
              <w:bottom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1224" w:type="dxa"/>
            <w:tcBorders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9690" w:type="dxa"/>
            <w:tcBorders>
              <w:top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(наименование организации)</w:t>
            </w:r>
          </w:p>
        </w:tc>
      </w:tr>
      <w:tr>
        <w:trPr/>
        <w:tc>
          <w:tcPr>
            <w:tcW w:w="10914" w:type="dxa"/>
            <w:gridSpan w:val="2"/>
            <w:tcBorders/>
          </w:tcPr>
          <w:p>
            <w:pPr>
              <w:pStyle w:val="ConsPlusNormal1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Утвержден __ ______________ 20__ г.</w:t>
            </w:r>
          </w:p>
        </w:tc>
      </w:tr>
    </w:tbl>
    <w:p>
      <w:pPr>
        <w:pStyle w:val="ConsPlusNormal1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tbl>
      <w:tblPr>
        <w:tblW w:w="10977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noVBand="0" w:noHBand="0" w:lastColumn="0" w:firstColumn="0" w:lastRow="0" w:firstRow="0"/>
      </w:tblPr>
      <w:tblGrid>
        <w:gridCol w:w="5215"/>
        <w:gridCol w:w="2664"/>
        <w:gridCol w:w="3098"/>
      </w:tblGrid>
      <w:tr>
        <w:trPr/>
        <w:tc>
          <w:tcPr>
            <w:tcW w:w="5215" w:type="dxa"/>
            <w:tcBorders/>
          </w:tcPr>
          <w:p>
            <w:pPr>
              <w:pStyle w:val="ConsPlusNormal1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Сводный сметный расчет сметной стоимостью</w:t>
            </w:r>
          </w:p>
        </w:tc>
        <w:tc>
          <w:tcPr>
            <w:tcW w:w="2664" w:type="dxa"/>
            <w:tcBorders>
              <w:bottom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098" w:type="dxa"/>
            <w:tcBorders/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руб.</w:t>
            </w:r>
          </w:p>
        </w:tc>
      </w:tr>
      <w:tr>
        <w:trPr/>
        <w:tc>
          <w:tcPr>
            <w:tcW w:w="10977" w:type="dxa"/>
            <w:gridSpan w:val="3"/>
            <w:tcBorders>
              <w:bottom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10977" w:type="dxa"/>
            <w:gridSpan w:val="3"/>
            <w:tcBorders>
              <w:top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(ссылка на документ об утверждении)</w:t>
            </w:r>
          </w:p>
        </w:tc>
      </w:tr>
    </w:tbl>
    <w:p>
      <w:pPr>
        <w:pStyle w:val="ConsPlusNormal1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tbl>
      <w:tblPr>
        <w:tblW w:w="10977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noVBand="0" w:noHBand="0" w:lastColumn="0" w:firstColumn="0" w:lastRow="0" w:firstRow="0"/>
      </w:tblPr>
      <w:tblGrid>
        <w:gridCol w:w="10977"/>
      </w:tblGrid>
      <w:tr>
        <w:trPr/>
        <w:tc>
          <w:tcPr>
            <w:tcW w:w="10977" w:type="dxa"/>
            <w:tcBorders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СВОДНЫЙ СМЕТНЫЙ РАСЧЕТ </w:t>
            </w:r>
          </w:p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N ССРСС-________</w:t>
            </w:r>
          </w:p>
        </w:tc>
      </w:tr>
      <w:tr>
        <w:trPr/>
        <w:tc>
          <w:tcPr>
            <w:tcW w:w="10977" w:type="dxa"/>
            <w:tcBorders>
              <w:bottom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10977" w:type="dxa"/>
            <w:tcBorders>
              <w:top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(наименование стройки)</w:t>
            </w:r>
          </w:p>
        </w:tc>
      </w:tr>
      <w:tr>
        <w:trPr/>
        <w:tc>
          <w:tcPr>
            <w:tcW w:w="10977" w:type="dxa"/>
            <w:tcBorders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Составлен в текущих ценах, соответствующих периоду выполнения работ по Договору_________________ 20__ г.</w:t>
            </w:r>
          </w:p>
        </w:tc>
      </w:tr>
    </w:tbl>
    <w:p>
      <w:pPr>
        <w:pStyle w:val="ConsPlusNormal1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tbl>
      <w:tblPr>
        <w:tblW w:w="10706" w:type="dxa"/>
        <w:jc w:val="left"/>
        <w:tblInd w:w="34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noVBand="0" w:noHBand="0" w:lastColumn="0" w:firstColumn="0" w:lastRow="0" w:firstRow="0"/>
      </w:tblPr>
      <w:tblGrid>
        <w:gridCol w:w="427"/>
        <w:gridCol w:w="990"/>
        <w:gridCol w:w="295"/>
        <w:gridCol w:w="1634"/>
        <w:gridCol w:w="56"/>
        <w:gridCol w:w="1700"/>
        <w:gridCol w:w="13"/>
        <w:gridCol w:w="1265"/>
        <w:gridCol w:w="1418"/>
        <w:gridCol w:w="1134"/>
        <w:gridCol w:w="1772"/>
      </w:tblGrid>
      <w:tr>
        <w:trPr>
          <w:trHeight w:val="311" w:hRule="atLeast"/>
        </w:trPr>
        <w:tc>
          <w:tcPr>
            <w:tcW w:w="4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Nп/п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Обоснование</w:t>
            </w:r>
          </w:p>
        </w:tc>
        <w:tc>
          <w:tcPr>
            <w:tcW w:w="198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Наименование глав, объектов капитального строительства, работ и затрат</w:t>
            </w:r>
          </w:p>
        </w:tc>
        <w:tc>
          <w:tcPr>
            <w:tcW w:w="730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Сметная стоимость, руб.</w:t>
            </w:r>
          </w:p>
        </w:tc>
      </w:tr>
      <w:tr>
        <w:trPr>
          <w:trHeight w:val="1294" w:hRule="atLeast"/>
        </w:trPr>
        <w:tc>
          <w:tcPr>
            <w:tcW w:w="42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9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985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6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строительных (ремонтно-строительных, ремонтно-реставрационных) работ</w:t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left="191" w:hanging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монтажных работ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8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оборудования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left="-113"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прочих затрат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всего</w:t>
            </w:r>
          </w:p>
        </w:tc>
      </w:tr>
      <w:tr>
        <w:trPr>
          <w:trHeight w:val="144" w:hRule="atLeast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8</w:t>
            </w:r>
          </w:p>
        </w:tc>
      </w:tr>
      <w:tr>
        <w:trPr/>
        <w:tc>
          <w:tcPr>
            <w:tcW w:w="1070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 xml:space="preserve">Сметы основного договора </w:t>
            </w:r>
          </w:p>
        </w:tc>
      </w:tr>
      <w:tr>
        <w:trPr>
          <w:trHeight w:val="287" w:hRule="atLeast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>
          <w:trHeight w:val="339" w:hRule="atLeast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>
          <w:trHeight w:val="321" w:hRule="atLeast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33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 xml:space="preserve">Итого по сметам основного договора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>
          <w:trHeight w:val="321" w:hRule="atLeast"/>
        </w:trPr>
        <w:tc>
          <w:tcPr>
            <w:tcW w:w="1070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Включить дополнительным соглашением № 1</w:t>
            </w:r>
          </w:p>
        </w:tc>
      </w:tr>
      <w:tr>
        <w:trPr>
          <w:trHeight w:val="321" w:hRule="atLeast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34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>
          <w:trHeight w:val="321" w:hRule="atLeast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45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>
          <w:trHeight w:val="321" w:hRule="atLeast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Итого включено дополнительным соглашением № 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>
          <w:trHeight w:val="321" w:hRule="atLeast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027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Исключить дополнительным соглашением № 2</w:t>
            </w:r>
          </w:p>
        </w:tc>
      </w:tr>
      <w:tr>
        <w:trPr>
          <w:trHeight w:val="321" w:hRule="atLeast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56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Итого исключено дополнительным соглашением № 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>
          <w:trHeight w:val="321" w:hRule="atLeast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Итого по главе №: __________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>
          <w:trHeight w:val="321" w:hRule="atLeast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 xml:space="preserve">Итого по главам №№: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>
          <w:trHeight w:val="321" w:hRule="atLeast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Всего по ССР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>
          <w:trHeight w:val="283" w:hRule="atLeast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rPr>
                <w:rFonts w:ascii="Times New Roman" w:hAnsi="Times New Roman" w:cs="Times New Roman"/>
                <w:i/>
                <w:i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i/>
                <w:sz w:val="18"/>
                <w:szCs w:val="18"/>
                <w:u w:val="single"/>
              </w:rPr>
              <w:t>Справочно</w:t>
            </w:r>
            <w:r>
              <w:rPr>
                <w:rFonts w:cs="Times New Roman" w:ascii="Times New Roman" w:hAnsi="Times New Roman"/>
                <w:i/>
                <w:sz w:val="18"/>
                <w:szCs w:val="18"/>
              </w:rPr>
              <w:t>.</w:t>
            </w:r>
          </w:p>
          <w:p>
            <w:pPr>
              <w:pStyle w:val="ConsPlusNormal1"/>
              <w:widowControl w:val="false"/>
              <w:ind w:hanging="0"/>
              <w:rPr>
                <w:rFonts w:ascii="Times New Roman" w:hAnsi="Times New Roman" w:cs="Times New Roman"/>
                <w:i/>
                <w:i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i/>
                <w:sz w:val="18"/>
                <w:szCs w:val="18"/>
              </w:rPr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>
          <w:trHeight w:val="321" w:hRule="atLeast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i/>
                <w:sz w:val="18"/>
                <w:szCs w:val="18"/>
              </w:rPr>
              <w:t>Сумма основного договора, без НДС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>
          <w:trHeight w:val="321" w:hRule="atLeast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rPr>
                <w:rFonts w:ascii="Times New Roman" w:hAnsi="Times New Roman" w:cs="Times New Roman"/>
                <w:i/>
                <w:i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i/>
                <w:sz w:val="18"/>
                <w:szCs w:val="18"/>
              </w:rPr>
              <w:t>Сумма изменения</w:t>
              <w:br/>
              <w:t xml:space="preserve">(увеличения/уменьшения) стоимости основного договора на основании ДС № 1, без НДС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>
          <w:trHeight w:val="321" w:hRule="atLeast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i/>
                <w:sz w:val="18"/>
                <w:szCs w:val="18"/>
              </w:rPr>
              <w:t>Сумма изменения</w:t>
              <w:br/>
              <w:t>(увеличения/уменьшения) стоимости основного договора на основании ДС № 2, без НДС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/>
        <w:tc>
          <w:tcPr>
            <w:tcW w:w="3346" w:type="dxa"/>
            <w:gridSpan w:val="4"/>
            <w:tcBorders/>
          </w:tcPr>
          <w:p>
            <w:pPr>
              <w:pStyle w:val="ConsPlusNormal1"/>
              <w:widowControl w:val="false"/>
              <w:tabs>
                <w:tab w:val="clear" w:pos="708"/>
                <w:tab w:val="left" w:pos="2091" w:leader="none"/>
              </w:tabs>
              <w:ind w:left="425" w:hanging="42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        </w:t>
            </w:r>
            <w:r>
              <w:rPr>
                <w:rFonts w:cs="Times New Roman" w:ascii="Times New Roman" w:hAnsi="Times New Roman"/>
              </w:rPr>
              <w:t>Руководитель</w:t>
            </w:r>
          </w:p>
          <w:p>
            <w:pPr>
              <w:pStyle w:val="ConsPlusNormal1"/>
              <w:widowControl w:val="false"/>
              <w:ind w:left="425" w:hanging="42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        </w:t>
            </w:r>
            <w:r>
              <w:rPr>
                <w:rFonts w:cs="Times New Roman" w:ascii="Times New Roman" w:hAnsi="Times New Roman"/>
              </w:rPr>
              <w:t>проектной организации</w:t>
            </w:r>
          </w:p>
        </w:tc>
        <w:tc>
          <w:tcPr>
            <w:tcW w:w="7358" w:type="dxa"/>
            <w:gridSpan w:val="7"/>
            <w:tcBorders>
              <w:bottom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3346" w:type="dxa"/>
            <w:gridSpan w:val="4"/>
            <w:tcBorders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358" w:type="dxa"/>
            <w:gridSpan w:val="7"/>
            <w:tcBorders>
              <w:top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[подпись (инициалы, фамилия)]</w:t>
            </w:r>
          </w:p>
        </w:tc>
      </w:tr>
      <w:tr>
        <w:trPr/>
        <w:tc>
          <w:tcPr>
            <w:tcW w:w="3346" w:type="dxa"/>
            <w:gridSpan w:val="4"/>
            <w:tcBorders/>
          </w:tcPr>
          <w:p>
            <w:pPr>
              <w:pStyle w:val="ConsPlusNormal1"/>
              <w:widowControl w:val="false"/>
              <w:ind w:left="141" w:hanging="14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Главный инженер проекта</w:t>
            </w:r>
          </w:p>
        </w:tc>
        <w:tc>
          <w:tcPr>
            <w:tcW w:w="7358" w:type="dxa"/>
            <w:gridSpan w:val="7"/>
            <w:tcBorders>
              <w:bottom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3346" w:type="dxa"/>
            <w:gridSpan w:val="4"/>
            <w:tcBorders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358" w:type="dxa"/>
            <w:gridSpan w:val="7"/>
            <w:tcBorders>
              <w:top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[подпись (инициалы, фамилия)]</w:t>
            </w:r>
          </w:p>
        </w:tc>
      </w:tr>
      <w:tr>
        <w:trPr/>
        <w:tc>
          <w:tcPr>
            <w:tcW w:w="1712" w:type="dxa"/>
            <w:gridSpan w:val="3"/>
            <w:tcBorders/>
          </w:tcPr>
          <w:p>
            <w:pPr>
              <w:pStyle w:val="ConsPlusNormal1"/>
              <w:widowControl w:val="false"/>
              <w:ind w:firstLine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Начальник</w:t>
            </w:r>
          </w:p>
        </w:tc>
        <w:tc>
          <w:tcPr>
            <w:tcW w:w="1690" w:type="dxa"/>
            <w:gridSpan w:val="2"/>
            <w:tcBorders>
              <w:bottom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13" w:type="dxa"/>
            <w:gridSpan w:val="2"/>
            <w:tcBorders/>
          </w:tcPr>
          <w:p>
            <w:pPr>
              <w:pStyle w:val="ConsPlusNormal1"/>
              <w:widowControl w:val="false"/>
              <w:ind w:hanging="67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отдела</w:t>
            </w:r>
          </w:p>
        </w:tc>
        <w:tc>
          <w:tcPr>
            <w:tcW w:w="5589" w:type="dxa"/>
            <w:gridSpan w:val="4"/>
            <w:tcBorders>
              <w:bottom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1712" w:type="dxa"/>
            <w:gridSpan w:val="3"/>
            <w:tcBorders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90" w:type="dxa"/>
            <w:gridSpan w:val="2"/>
            <w:tcBorders>
              <w:top w:val="single" w:sz="4" w:space="0" w:color="000000"/>
            </w:tcBorders>
          </w:tcPr>
          <w:p>
            <w:pPr>
              <w:pStyle w:val="ConsPlusNormal1"/>
              <w:widowControl w:val="false"/>
              <w:ind w:hanging="19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(наименование)</w:t>
            </w:r>
          </w:p>
        </w:tc>
        <w:tc>
          <w:tcPr>
            <w:tcW w:w="1713" w:type="dxa"/>
            <w:gridSpan w:val="2"/>
            <w:tcBorders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5589" w:type="dxa"/>
            <w:gridSpan w:val="4"/>
            <w:tcBorders>
              <w:top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[подпись (инициалы, фамилия)]</w:t>
            </w:r>
          </w:p>
        </w:tc>
      </w:tr>
      <w:tr>
        <w:trPr/>
        <w:tc>
          <w:tcPr>
            <w:tcW w:w="1712" w:type="dxa"/>
            <w:gridSpan w:val="3"/>
            <w:tcBorders/>
          </w:tcPr>
          <w:p>
            <w:pPr>
              <w:pStyle w:val="ConsPlusNormal1"/>
              <w:widowControl w:val="false"/>
              <w:ind w:left="141" w:hanging="14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 </w:t>
            </w:r>
            <w:r>
              <w:rPr>
                <w:rFonts w:cs="Times New Roman" w:ascii="Times New Roman" w:hAnsi="Times New Roman"/>
              </w:rPr>
              <w:t>Заказчик</w:t>
            </w:r>
          </w:p>
        </w:tc>
        <w:tc>
          <w:tcPr>
            <w:tcW w:w="8992" w:type="dxa"/>
            <w:gridSpan w:val="8"/>
            <w:tcBorders>
              <w:bottom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1712" w:type="dxa"/>
            <w:gridSpan w:val="3"/>
            <w:tcBorders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992" w:type="dxa"/>
            <w:gridSpan w:val="8"/>
            <w:tcBorders>
              <w:top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[должность, подпись (инициалы, фамилия)]</w:t>
            </w:r>
          </w:p>
        </w:tc>
      </w:tr>
    </w:tbl>
    <w:p>
      <w:pPr>
        <w:pStyle w:val="ConsPlusNormal1"/>
        <w:widowControl/>
        <w:ind w:hanging="0"/>
        <w:jc w:val="right"/>
        <w:rPr>
          <w:rFonts w:ascii="Times New Roman" w:hAnsi="Times New Roman" w:cs="Times New Roman"/>
          <w:b/>
          <w:sz w:val="22"/>
          <w:szCs w:val="22"/>
        </w:rPr>
      </w:pPr>
      <w:r>
        <w:rPr>
          <w:rFonts w:cs="Times New Roman" w:ascii="Times New Roman" w:hAnsi="Times New Roman"/>
          <w:b/>
          <w:sz w:val="22"/>
          <w:szCs w:val="22"/>
        </w:rPr>
      </w:r>
    </w:p>
    <w:p>
      <w:pPr>
        <w:sectPr>
          <w:footerReference w:type="default" r:id="rId20"/>
          <w:footerReference w:type="first" r:id="rId21"/>
          <w:footnotePr>
            <w:numFmt w:val="decimal"/>
            <w:numRestart w:val="eachPage"/>
          </w:footnotePr>
          <w:type w:val="nextPage"/>
          <w:pgSz w:w="11906" w:h="16838"/>
          <w:pgMar w:left="426" w:right="567" w:gutter="0" w:header="0" w:top="0" w:footer="709" w:bottom="766"/>
          <w:pgNumType w:fmt="decimal"/>
          <w:formProt w:val="false"/>
          <w:textDirection w:val="lrTb"/>
          <w:docGrid w:type="default" w:linePitch="360" w:charSpace="4096"/>
        </w:sectPr>
        <w:pStyle w:val="ConsPlusNormal1"/>
        <w:widowControl/>
        <w:ind w:hanging="0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Normal"/>
        <w:spacing w:lineRule="auto" w:line="240" w:before="0" w:after="0"/>
        <w:ind w:left="9639" w:hanging="0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Приложение№1.3</w:t>
      </w:r>
    </w:p>
    <w:p>
      <w:pPr>
        <w:pStyle w:val="Normal"/>
        <w:spacing w:lineRule="auto" w:line="240" w:before="0" w:after="0"/>
        <w:ind w:left="5811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</w:t>
      </w:r>
    </w:p>
    <w:p>
      <w:pPr>
        <w:pStyle w:val="ConsPlusNormal1"/>
        <w:ind w:left="9639" w:hanging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Требованиям к оформлению и составлению               </w:t>
      </w:r>
    </w:p>
    <w:p>
      <w:pPr>
        <w:pStyle w:val="ConsPlusNormal1"/>
        <w:ind w:left="9639" w:hanging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сметной документации на выполнение работ </w:t>
      </w:r>
    </w:p>
    <w:p>
      <w:pPr>
        <w:pStyle w:val="ConsPlusNormal1"/>
        <w:ind w:left="9639" w:hanging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по программе реконструкции и техническому      перевооружению </w:t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color w:val="000000"/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</w:r>
    </w:p>
    <w:p>
      <w:pPr>
        <w:pStyle w:val="Normal"/>
        <w:widowControl w:val="false"/>
        <w:spacing w:lineRule="auto" w:line="240" w:before="0" w:after="15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widowControl w:val="false"/>
        <w:spacing w:lineRule="auto" w:line="240" w:before="0" w:after="15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ФОРМА ЛОКАЛЬНОГО СМЕТНОГО РАСЧЕТА (СМЕТЫ) ДЛЯ РЕСУРСНО-ИНДЕКСНОГО МЕТОДА</w:t>
      </w:r>
    </w:p>
    <w:p>
      <w:pPr>
        <w:pStyle w:val="Normal"/>
        <w:widowControl w:val="false"/>
        <w:spacing w:lineRule="auto" w:line="240" w:before="0" w:after="15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</w:r>
    </w:p>
    <w:tbl>
      <w:tblPr>
        <w:tblW w:w="9000" w:type="dxa"/>
        <w:jc w:val="center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000" w:noVBand="0" w:noHBand="0" w:lastColumn="0" w:firstColumn="0" w:lastRow="0" w:firstRow="0"/>
      </w:tblPr>
      <w:tblGrid>
        <w:gridCol w:w="8749"/>
        <w:gridCol w:w="250"/>
      </w:tblGrid>
      <w:tr>
        <w:trPr/>
        <w:tc>
          <w:tcPr>
            <w:tcW w:w="8749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Наименование программного продукта</w:t>
            </w:r>
          </w:p>
        </w:tc>
        <w:tc>
          <w:tcPr>
            <w:tcW w:w="250" w:type="dxa"/>
            <w:tcBorders>
              <w:bottom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>
        <w:trPr/>
        <w:tc>
          <w:tcPr>
            <w:tcW w:w="8749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Наименование редакции сметных нормативов</w:t>
            </w:r>
          </w:p>
        </w:tc>
        <w:tc>
          <w:tcPr>
            <w:tcW w:w="250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>
        <w:trPr/>
        <w:tc>
          <w:tcPr>
            <w:tcW w:w="8749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Реквизиты приказа Минстроя России об утверждении дополнений и изменений к сметным нормативам</w:t>
            </w:r>
          </w:p>
        </w:tc>
        <w:tc>
          <w:tcPr>
            <w:tcW w:w="250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>
        <w:trPr/>
        <w:tc>
          <w:tcPr>
            <w:tcW w:w="8749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Реквизиты письма Минстроя России об индексах изменения сметной стоимости строительства, включаемые в федеральный реестр сметных нормативов и размещаемые в федеральной государственной информационной системе ценообразования в строительстве, подготовленного в соответствии </w:t>
            </w:r>
            <w:r>
              <w:fldChar w:fldCharType="begin"/>
            </w:r>
            <w:r>
              <w:rPr>
                <w:sz w:val="18"/>
                <w:u w:val="single"/>
                <w:szCs w:val="18"/>
                <w:rFonts w:ascii="Times New Roman" w:hAnsi="Times New Roman"/>
              </w:rPr>
              <w:instrText xml:space="preserve"> HYPERLINK "https://normativ.kontur.ru/document?moduleid=1&amp;documentid=399589" \l "l293"</w:instrText>
            </w:r>
            <w:r>
              <w:rPr>
                <w:sz w:val="18"/>
                <w:u w:val="single"/>
                <w:szCs w:val="18"/>
                <w:rFonts w:ascii="Times New Roman" w:hAnsi="Times New Roman"/>
              </w:rPr>
              <w:fldChar w:fldCharType="separate"/>
            </w:r>
            <w:r>
              <w:rPr>
                <w:rFonts w:ascii="Times New Roman" w:hAnsi="Times New Roman"/>
                <w:sz w:val="18"/>
                <w:szCs w:val="18"/>
                <w:u w:val="single"/>
              </w:rPr>
              <w:t>пунктом 85</w:t>
            </w:r>
            <w:r>
              <w:rPr>
                <w:sz w:val="18"/>
                <w:u w:val="single"/>
                <w:szCs w:val="18"/>
                <w:rFonts w:ascii="Times New Roman" w:hAnsi="Times New Roman"/>
              </w:rPr>
              <w:fldChar w:fldCharType="end"/>
            </w:r>
            <w:r>
              <w:rPr>
                <w:rFonts w:ascii="Times New Roman" w:hAnsi="Times New Roman"/>
                <w:sz w:val="18"/>
                <w:szCs w:val="18"/>
              </w:rPr>
              <w:t xml:space="preserve"> Методики расчета индексов изменения сметной стоимости строительства, утвержденной приказом Министерства строительства и жилищно-коммунального хозяйства Российской Федерации от 5 июня 2019 г. N 326/пр &lt;1&gt;</w:t>
            </w:r>
          </w:p>
        </w:tc>
        <w:tc>
          <w:tcPr>
            <w:tcW w:w="250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>
        <w:trPr/>
        <w:tc>
          <w:tcPr>
            <w:tcW w:w="8749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Реквизиты нормативного правового акта об утверждении оплаты труда, утверждаемый в соответствии с </w:t>
            </w:r>
            <w:r>
              <w:fldChar w:fldCharType="begin"/>
            </w:r>
            <w:r>
              <w:rPr>
                <w:sz w:val="18"/>
                <w:u w:val="single"/>
                <w:szCs w:val="18"/>
                <w:rFonts w:ascii="Times New Roman" w:hAnsi="Times New Roman"/>
              </w:rPr>
              <w:instrText xml:space="preserve"> HYPERLINK "https://normativ.kontur.ru/document?moduleid=1&amp;documentid=420685" \l "l163"</w:instrText>
            </w:r>
            <w:r>
              <w:rPr>
                <w:sz w:val="18"/>
                <w:u w:val="single"/>
                <w:szCs w:val="18"/>
                <w:rFonts w:ascii="Times New Roman" w:hAnsi="Times New Roman"/>
              </w:rPr>
              <w:fldChar w:fldCharType="separate"/>
            </w:r>
            <w:r>
              <w:rPr>
                <w:rFonts w:ascii="Times New Roman" w:hAnsi="Times New Roman"/>
                <w:sz w:val="18"/>
                <w:szCs w:val="18"/>
                <w:u w:val="single"/>
              </w:rPr>
              <w:t>пунктом 22(1)</w:t>
            </w:r>
            <w:r>
              <w:rPr>
                <w:sz w:val="18"/>
                <w:u w:val="single"/>
                <w:szCs w:val="18"/>
                <w:rFonts w:ascii="Times New Roman" w:hAnsi="Times New Roman"/>
              </w:rPr>
              <w:fldChar w:fldCharType="end"/>
            </w:r>
            <w:r>
              <w:rPr>
                <w:rFonts w:ascii="Times New Roman" w:hAnsi="Times New Roman"/>
                <w:sz w:val="18"/>
                <w:szCs w:val="18"/>
              </w:rPr>
              <w:t xml:space="preserve"> Правилами мониторинга цен, утвержденными постановлением Правительства Российской Федерации от 23 декабря 2016 N 1452</w:t>
            </w:r>
          </w:p>
        </w:tc>
        <w:tc>
          <w:tcPr>
            <w:tcW w:w="250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>
        <w:trPr/>
        <w:tc>
          <w:tcPr>
            <w:tcW w:w="8749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Обоснование принятых текущих цен на строительные ресурсы</w:t>
            </w:r>
          </w:p>
        </w:tc>
        <w:tc>
          <w:tcPr>
            <w:tcW w:w="250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>
        <w:trPr/>
        <w:tc>
          <w:tcPr>
            <w:tcW w:w="8749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Наименование субъекта Российской Федерации</w:t>
            </w:r>
          </w:p>
        </w:tc>
        <w:tc>
          <w:tcPr>
            <w:tcW w:w="250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>
        <w:trPr/>
        <w:tc>
          <w:tcPr>
            <w:tcW w:w="8749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Наименование зоны субъекта Российской Федерации</w:t>
            </w:r>
          </w:p>
        </w:tc>
        <w:tc>
          <w:tcPr>
            <w:tcW w:w="250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</w:tbl>
    <w:p>
      <w:pPr>
        <w:pStyle w:val="Normal"/>
        <w:widowControl w:val="false"/>
        <w:spacing w:lineRule="auto" w:line="240" w:before="0" w:after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widowControl w:val="false"/>
        <w:spacing w:lineRule="auto" w:line="240" w:before="0" w:after="150"/>
        <w:rPr>
          <w:rFonts w:ascii="Times New Roman" w:hAnsi="Times New Roman"/>
        </w:rPr>
      </w:pPr>
      <w:r>
        <w:rPr>
          <w:rFonts w:ascii="Times New Roman" w:hAnsi="Times New Roman"/>
        </w:rPr>
      </w:r>
    </w:p>
    <w:tbl>
      <w:tblPr>
        <w:tblW w:w="6125" w:type="dxa"/>
        <w:jc w:val="center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000" w:noVBand="0" w:noHBand="0" w:lastColumn="0" w:firstColumn="0" w:lastRow="0" w:firstRow="0"/>
      </w:tblPr>
      <w:tblGrid>
        <w:gridCol w:w="6125"/>
      </w:tblGrid>
      <w:tr>
        <w:trPr/>
        <w:tc>
          <w:tcPr>
            <w:tcW w:w="6125" w:type="dxa"/>
            <w:tcBorders>
              <w:bottom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6125" w:type="dxa"/>
            <w:tcBorders>
              <w:top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(наименование стройки)</w:t>
            </w:r>
          </w:p>
        </w:tc>
      </w:tr>
      <w:tr>
        <w:trPr/>
        <w:tc>
          <w:tcPr>
            <w:tcW w:w="6125" w:type="dxa"/>
            <w:tcBorders>
              <w:bottom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 </w:t>
            </w:r>
          </w:p>
        </w:tc>
      </w:tr>
      <w:tr>
        <w:trPr/>
        <w:tc>
          <w:tcPr>
            <w:tcW w:w="6125" w:type="dxa"/>
            <w:tcBorders>
              <w:top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(наименование объекта капитального строительства)</w:t>
            </w:r>
          </w:p>
        </w:tc>
      </w:tr>
    </w:tbl>
    <w:p>
      <w:pPr>
        <w:pStyle w:val="Normal"/>
        <w:widowControl w:val="false"/>
        <w:spacing w:lineRule="auto" w:line="240" w:before="0" w:after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widowControl w:val="false"/>
        <w:spacing w:lineRule="auto" w:line="240" w:before="0" w:after="15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ЛОКАЛЬНЫЙ СМЕТНЫЙ РАСЧЕТ (СМЕТА) N ____</w:t>
      </w:r>
    </w:p>
    <w:p>
      <w:pPr>
        <w:pStyle w:val="Normal"/>
        <w:widowControl w:val="false"/>
        <w:spacing w:lineRule="auto" w:line="240" w:before="0" w:after="150"/>
        <w:rPr>
          <w:rFonts w:ascii="Times New Roman" w:hAnsi="Times New Roman"/>
        </w:rPr>
      </w:pPr>
      <w:r>
        <w:rPr>
          <w:rFonts w:ascii="Times New Roman" w:hAnsi="Times New Roman"/>
        </w:rPr>
      </w:r>
    </w:p>
    <w:tbl>
      <w:tblPr>
        <w:tblW w:w="3626" w:type="dxa"/>
        <w:jc w:val="center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000" w:noVBand="0" w:noHBand="0" w:lastColumn="0" w:firstColumn="0" w:lastRow="0" w:firstRow="0"/>
      </w:tblPr>
      <w:tblGrid>
        <w:gridCol w:w="3626"/>
      </w:tblGrid>
      <w:tr>
        <w:trPr/>
        <w:tc>
          <w:tcPr>
            <w:tcW w:w="3626" w:type="dxa"/>
            <w:tcBorders>
              <w:bottom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3626" w:type="dxa"/>
            <w:tcBorders>
              <w:top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(наименование работ и затрат)</w:t>
            </w:r>
          </w:p>
        </w:tc>
      </w:tr>
    </w:tbl>
    <w:p>
      <w:pPr>
        <w:pStyle w:val="Normal"/>
        <w:widowControl w:val="false"/>
        <w:spacing w:lineRule="auto" w:line="240" w:before="0" w:after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widowControl w:val="false"/>
        <w:spacing w:lineRule="auto" w:line="240" w:before="0" w:after="150"/>
        <w:rPr>
          <w:rFonts w:ascii="Times New Roman" w:hAnsi="Times New Roman"/>
        </w:rPr>
      </w:pPr>
      <w:r>
        <w:rPr>
          <w:rFonts w:ascii="Times New Roman" w:hAnsi="Times New Roman"/>
        </w:rPr>
      </w:r>
    </w:p>
    <w:tbl>
      <w:tblPr>
        <w:tblW w:w="9119" w:type="dxa"/>
        <w:jc w:val="center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000" w:noVBand="0" w:noHBand="0" w:lastColumn="0" w:firstColumn="0" w:lastRow="0" w:firstRow="0"/>
      </w:tblPr>
      <w:tblGrid>
        <w:gridCol w:w="1018"/>
        <w:gridCol w:w="7200"/>
        <w:gridCol w:w="901"/>
      </w:tblGrid>
      <w:tr>
        <w:trPr/>
        <w:tc>
          <w:tcPr>
            <w:tcW w:w="1018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Составлен</w:t>
            </w:r>
          </w:p>
        </w:tc>
        <w:tc>
          <w:tcPr>
            <w:tcW w:w="7200" w:type="dxa"/>
            <w:tcBorders>
              <w:bottom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ресурсно-индексным</w:t>
            </w:r>
          </w:p>
        </w:tc>
        <w:tc>
          <w:tcPr>
            <w:tcW w:w="90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методом</w:t>
            </w:r>
          </w:p>
        </w:tc>
      </w:tr>
      <w:tr>
        <w:trPr/>
        <w:tc>
          <w:tcPr>
            <w:tcW w:w="1018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Основание</w:t>
            </w:r>
          </w:p>
        </w:tc>
        <w:tc>
          <w:tcPr>
            <w:tcW w:w="8101" w:type="dxa"/>
            <w:gridSpan w:val="2"/>
            <w:tcBorders>
              <w:bottom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 </w:t>
            </w:r>
          </w:p>
        </w:tc>
      </w:tr>
      <w:tr>
        <w:trPr/>
        <w:tc>
          <w:tcPr>
            <w:tcW w:w="1018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 </w:t>
            </w:r>
          </w:p>
        </w:tc>
        <w:tc>
          <w:tcPr>
            <w:tcW w:w="8101" w:type="dxa"/>
            <w:gridSpan w:val="2"/>
            <w:tcBorders>
              <w:top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(проектная и (или) иная техническая документация)</w:t>
            </w:r>
          </w:p>
        </w:tc>
      </w:tr>
    </w:tbl>
    <w:p>
      <w:pPr>
        <w:pStyle w:val="Normal"/>
        <w:widowControl w:val="false"/>
        <w:spacing w:lineRule="auto" w:line="240" w:before="0" w:after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widowControl w:val="false"/>
        <w:spacing w:lineRule="auto" w:line="240" w:before="0" w:after="150"/>
        <w:rPr>
          <w:rFonts w:ascii="Times New Roman" w:hAnsi="Times New Roman"/>
        </w:rPr>
      </w:pPr>
      <w:r>
        <w:rPr>
          <w:rFonts w:ascii="Times New Roman" w:hAnsi="Times New Roman"/>
        </w:rPr>
      </w:r>
    </w:p>
    <w:tbl>
      <w:tblPr>
        <w:tblW w:w="9000" w:type="dxa"/>
        <w:jc w:val="center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000" w:noVBand="0" w:noHBand="0" w:lastColumn="0" w:firstColumn="0" w:lastRow="0" w:firstRow="0"/>
      </w:tblPr>
      <w:tblGrid>
        <w:gridCol w:w="1917"/>
        <w:gridCol w:w="1917"/>
        <w:gridCol w:w="1500"/>
        <w:gridCol w:w="1916"/>
        <w:gridCol w:w="249"/>
        <w:gridCol w:w="1500"/>
      </w:tblGrid>
      <w:tr>
        <w:trPr/>
        <w:tc>
          <w:tcPr>
            <w:tcW w:w="3834" w:type="dxa"/>
            <w:gridSpan w:val="2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Составлен(а) в текущем (базисном) уровне цен</w:t>
            </w:r>
          </w:p>
        </w:tc>
        <w:tc>
          <w:tcPr>
            <w:tcW w:w="1500" w:type="dxa"/>
            <w:tcBorders>
              <w:bottom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16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49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00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>
        <w:trPr/>
        <w:tc>
          <w:tcPr>
            <w:tcW w:w="1917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17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00" w:type="dxa"/>
            <w:tcBorders>
              <w:top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16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49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00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>
        <w:trPr/>
        <w:tc>
          <w:tcPr>
            <w:tcW w:w="1917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Сметная стоимость</w:t>
            </w:r>
          </w:p>
        </w:tc>
        <w:tc>
          <w:tcPr>
            <w:tcW w:w="1917" w:type="dxa"/>
            <w:tcBorders>
              <w:bottom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00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тыс. руб.</w:t>
            </w:r>
          </w:p>
        </w:tc>
        <w:tc>
          <w:tcPr>
            <w:tcW w:w="1916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Средства на оплату труда рабочих</w:t>
            </w:r>
          </w:p>
        </w:tc>
        <w:tc>
          <w:tcPr>
            <w:tcW w:w="249" w:type="dxa"/>
            <w:tcBorders>
              <w:bottom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00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тыс. руб.</w:t>
            </w:r>
          </w:p>
        </w:tc>
      </w:tr>
      <w:tr>
        <w:trPr/>
        <w:tc>
          <w:tcPr>
            <w:tcW w:w="1917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 том числе:</w:t>
            </w:r>
          </w:p>
        </w:tc>
        <w:tc>
          <w:tcPr>
            <w:tcW w:w="1917" w:type="dxa"/>
            <w:tcBorders>
              <w:top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00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16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Средства на оплату труда машинистов</w:t>
            </w:r>
          </w:p>
        </w:tc>
        <w:tc>
          <w:tcPr>
            <w:tcW w:w="249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00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тыс. руб.</w:t>
            </w:r>
          </w:p>
        </w:tc>
      </w:tr>
      <w:tr>
        <w:trPr/>
        <w:tc>
          <w:tcPr>
            <w:tcW w:w="1917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строительных работ</w:t>
            </w:r>
          </w:p>
        </w:tc>
        <w:tc>
          <w:tcPr>
            <w:tcW w:w="1917" w:type="dxa"/>
            <w:tcBorders>
              <w:bottom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00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тыс. руб.</w:t>
            </w:r>
          </w:p>
        </w:tc>
        <w:tc>
          <w:tcPr>
            <w:tcW w:w="1916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Нормативные затраты труда рабочих</w:t>
            </w:r>
          </w:p>
        </w:tc>
        <w:tc>
          <w:tcPr>
            <w:tcW w:w="249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00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чел.-ч.</w:t>
            </w:r>
          </w:p>
        </w:tc>
      </w:tr>
      <w:tr>
        <w:trPr/>
        <w:tc>
          <w:tcPr>
            <w:tcW w:w="1917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монтажных работ</w:t>
            </w:r>
          </w:p>
        </w:tc>
        <w:tc>
          <w:tcPr>
            <w:tcW w:w="1917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00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тыс. руб.</w:t>
            </w:r>
          </w:p>
        </w:tc>
        <w:tc>
          <w:tcPr>
            <w:tcW w:w="1916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Нормативные затраты труда машинистов</w:t>
            </w:r>
          </w:p>
        </w:tc>
        <w:tc>
          <w:tcPr>
            <w:tcW w:w="249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00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чел.-ч.</w:t>
            </w:r>
          </w:p>
        </w:tc>
      </w:tr>
      <w:tr>
        <w:trPr/>
        <w:tc>
          <w:tcPr>
            <w:tcW w:w="1917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оборудования</w:t>
            </w:r>
          </w:p>
        </w:tc>
        <w:tc>
          <w:tcPr>
            <w:tcW w:w="1917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00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тыс. руб.</w:t>
            </w:r>
          </w:p>
        </w:tc>
        <w:tc>
          <w:tcPr>
            <w:tcW w:w="1916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49" w:type="dxa"/>
            <w:tcBorders>
              <w:top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00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>
        <w:trPr/>
        <w:tc>
          <w:tcPr>
            <w:tcW w:w="1917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прочих затрат</w:t>
            </w:r>
          </w:p>
        </w:tc>
        <w:tc>
          <w:tcPr>
            <w:tcW w:w="1917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00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тыс. руб.</w:t>
            </w:r>
          </w:p>
        </w:tc>
        <w:tc>
          <w:tcPr>
            <w:tcW w:w="1916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49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00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</w:tbl>
    <w:p>
      <w:pPr>
        <w:pStyle w:val="Normal"/>
        <w:widowControl w:val="false"/>
        <w:spacing w:lineRule="auto" w:line="240" w:before="0" w:after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widowControl w:val="false"/>
        <w:spacing w:lineRule="auto" w:line="240" w:before="0" w:after="150"/>
        <w:rPr>
          <w:rFonts w:ascii="Times New Roman" w:hAnsi="Times New Roman"/>
        </w:rPr>
      </w:pPr>
      <w:r>
        <w:rPr>
          <w:rFonts w:ascii="Times New Roman" w:hAnsi="Times New Roman"/>
        </w:rPr>
      </w:r>
    </w:p>
    <w:tbl>
      <w:tblPr>
        <w:tblW w:w="15677" w:type="dxa"/>
        <w:jc w:val="center"/>
        <w:tblInd w:w="0" w:type="dxa"/>
        <w:tblLayout w:type="fixed"/>
        <w:tblCellMar>
          <w:top w:w="0" w:type="dxa"/>
          <w:left w:w="7" w:type="dxa"/>
          <w:bottom w:w="0" w:type="dxa"/>
          <w:right w:w="7" w:type="dxa"/>
        </w:tblCellMar>
        <w:tblLook w:val="0000" w:noVBand="0" w:noHBand="0" w:lastColumn="0" w:firstColumn="0" w:lastRow="0" w:firstRow="0"/>
      </w:tblPr>
      <w:tblGrid>
        <w:gridCol w:w="984"/>
        <w:gridCol w:w="1135"/>
        <w:gridCol w:w="4109"/>
        <w:gridCol w:w="994"/>
        <w:gridCol w:w="1274"/>
        <w:gridCol w:w="1277"/>
        <w:gridCol w:w="708"/>
        <w:gridCol w:w="723"/>
        <w:gridCol w:w="898"/>
        <w:gridCol w:w="1640"/>
        <w:gridCol w:w="1102"/>
        <w:gridCol w:w="832"/>
      </w:tblGrid>
      <w:tr>
        <w:trPr/>
        <w:tc>
          <w:tcPr>
            <w:tcW w:w="98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 п/п</w:t>
            </w:r>
          </w:p>
        </w:tc>
        <w:tc>
          <w:tcPr>
            <w:tcW w:w="11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Обоснование</w:t>
            </w:r>
          </w:p>
        </w:tc>
        <w:tc>
          <w:tcPr>
            <w:tcW w:w="41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работ и затрат</w:t>
            </w:r>
          </w:p>
        </w:tc>
        <w:tc>
          <w:tcPr>
            <w:tcW w:w="9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Единица измерения</w:t>
            </w:r>
          </w:p>
        </w:tc>
        <w:tc>
          <w:tcPr>
            <w:tcW w:w="32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</w:t>
            </w:r>
          </w:p>
        </w:tc>
        <w:tc>
          <w:tcPr>
            <w:tcW w:w="519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Сметная стоимость, руб.</w:t>
            </w:r>
          </w:p>
        </w:tc>
      </w:tr>
      <w:tr>
        <w:trPr/>
        <w:tc>
          <w:tcPr>
            <w:tcW w:w="984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35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4109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94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 единицу измерения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коэффициенты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всего с учетом коэффициентов</w:t>
            </w:r>
          </w:p>
        </w:tc>
        <w:tc>
          <w:tcPr>
            <w:tcW w:w="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 единицу измерения в базисном уровне цен</w:t>
            </w: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индекс</w:t>
            </w:r>
          </w:p>
        </w:tc>
        <w:tc>
          <w:tcPr>
            <w:tcW w:w="1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 единицу измерения в текущем уровне цен</w:t>
            </w:r>
          </w:p>
        </w:tc>
        <w:tc>
          <w:tcPr>
            <w:tcW w:w="1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коэффициенты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всего в текущем уровне цен</w:t>
            </w:r>
          </w:p>
        </w:tc>
      </w:tr>
      <w:tr>
        <w:trPr/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</w:tr>
      <w:tr>
        <w:trPr/>
        <w:tc>
          <w:tcPr>
            <w:tcW w:w="15676" w:type="dxa"/>
            <w:gridSpan w:val="12"/>
            <w:tcBorders>
              <w:top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984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35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4109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94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274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277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08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23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98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40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102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32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</w:tbl>
    <w:p>
      <w:pPr>
        <w:pStyle w:val="Normal"/>
        <w:widowControl w:val="false"/>
        <w:spacing w:lineRule="auto" w:line="240" w:before="0" w:after="150"/>
        <w:rPr>
          <w:rFonts w:ascii="Times New Roman" w:hAnsi="Times New Roman"/>
        </w:rPr>
      </w:pPr>
      <w:r>
        <w:rPr>
          <w:rFonts w:ascii="Times New Roman" w:hAnsi="Times New Roman"/>
        </w:rPr>
      </w:r>
    </w:p>
    <w:tbl>
      <w:tblPr>
        <w:tblW w:w="9000" w:type="dxa"/>
        <w:jc w:val="center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000" w:noVBand="0" w:noHBand="0" w:lastColumn="0" w:firstColumn="0" w:lastRow="0" w:firstRow="0"/>
      </w:tblPr>
      <w:tblGrid>
        <w:gridCol w:w="1350"/>
        <w:gridCol w:w="7649"/>
      </w:tblGrid>
      <w:tr>
        <w:trPr/>
        <w:tc>
          <w:tcPr>
            <w:tcW w:w="1350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Составил</w:t>
            </w:r>
          </w:p>
        </w:tc>
        <w:tc>
          <w:tcPr>
            <w:tcW w:w="7649" w:type="dxa"/>
            <w:tcBorders>
              <w:bottom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 </w:t>
            </w:r>
          </w:p>
        </w:tc>
      </w:tr>
      <w:tr>
        <w:trPr/>
        <w:tc>
          <w:tcPr>
            <w:tcW w:w="1350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 </w:t>
            </w:r>
          </w:p>
        </w:tc>
        <w:tc>
          <w:tcPr>
            <w:tcW w:w="7649" w:type="dxa"/>
            <w:tcBorders>
              <w:top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[должность, подпись (инициалы, фамилия)]</w:t>
            </w:r>
          </w:p>
        </w:tc>
      </w:tr>
      <w:tr>
        <w:trPr/>
        <w:tc>
          <w:tcPr>
            <w:tcW w:w="1350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Проверил</w:t>
            </w:r>
          </w:p>
        </w:tc>
        <w:tc>
          <w:tcPr>
            <w:tcW w:w="7649" w:type="dxa"/>
            <w:tcBorders>
              <w:bottom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 </w:t>
            </w:r>
          </w:p>
        </w:tc>
      </w:tr>
      <w:tr>
        <w:trPr/>
        <w:tc>
          <w:tcPr>
            <w:tcW w:w="1350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 </w:t>
            </w:r>
          </w:p>
        </w:tc>
        <w:tc>
          <w:tcPr>
            <w:tcW w:w="7649" w:type="dxa"/>
            <w:tcBorders>
              <w:top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[должность, подпись (инициалы, фамилия)]</w:t>
            </w:r>
          </w:p>
        </w:tc>
      </w:tr>
    </w:tbl>
    <w:p>
      <w:pPr>
        <w:pStyle w:val="Normal"/>
        <w:spacing w:lineRule="auto" w:line="240" w:before="0" w:after="0"/>
        <w:ind w:left="6373" w:firstLine="72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br w:type="page"/>
      </w:r>
    </w:p>
    <w:p>
      <w:pPr>
        <w:pStyle w:val="Normal"/>
        <w:widowControl w:val="false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№2</w:t>
      </w:r>
    </w:p>
    <w:p>
      <w:pPr>
        <w:pStyle w:val="Normal"/>
        <w:spacing w:lineRule="auto" w:line="240" w:before="0" w:after="0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Требованиям к оформлению и составлению сметной документации на работы по программе реконструкции и техническому перевооружению</w:t>
      </w:r>
    </w:p>
    <w:p>
      <w:pPr>
        <w:pStyle w:val="ConsPlusNormal1"/>
        <w:widowControl/>
        <w:tabs>
          <w:tab w:val="clear" w:pos="708"/>
          <w:tab w:val="left" w:pos="993" w:leader="none"/>
          <w:tab w:val="left" w:pos="1134" w:leader="none"/>
        </w:tabs>
        <w:ind w:firstLine="567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ConsPlusNormal1"/>
        <w:widowControl/>
        <w:tabs>
          <w:tab w:val="clear" w:pos="708"/>
          <w:tab w:val="left" w:pos="993" w:leader="none"/>
          <w:tab w:val="left" w:pos="1134" w:leader="none"/>
        </w:tabs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Dt-p"/>
        <w:shd w:val="clear" w:color="auto" w:fill="FFFFFF"/>
        <w:spacing w:beforeAutospacing="0" w:before="0" w:after="0"/>
        <w:ind w:firstLine="567"/>
        <w:jc w:val="center"/>
        <w:textAlignment w:val="baseline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Пример расчета единого индекса-дефлятора к  договору</w:t>
      </w:r>
    </w:p>
    <w:p>
      <w:pPr>
        <w:pStyle w:val="Normal"/>
        <w:tabs>
          <w:tab w:val="clear" w:pos="708"/>
          <w:tab w:val="left" w:pos="1134" w:leader="none"/>
        </w:tabs>
        <w:ind w:firstLine="567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>В соответствии с условиями Договора начало строительства – сентябрь 2024г, окончание декабрь 2025 г. Продолжительность реконструкции / строительства составляет– 16 месяцев.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iCs/>
        </w:rPr>
        <w:t>Сметная документация составлена с применением СНБ – ГЭСН-2020, ФЕР – 2020 (с изм 1-9).</w:t>
      </w:r>
    </w:p>
    <w:p>
      <w:pPr>
        <w:pStyle w:val="Normal"/>
        <w:tabs>
          <w:tab w:val="clear" w:pos="708"/>
          <w:tab w:val="left" w:pos="1134" w:leader="none"/>
        </w:tabs>
        <w:ind w:firstLine="567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 xml:space="preserve">Доля сметной стоимости в 2024 году – 0,25 (4 мес. из 16) </w:t>
      </w:r>
    </w:p>
    <w:p>
      <w:pPr>
        <w:pStyle w:val="Normal"/>
        <w:tabs>
          <w:tab w:val="clear" w:pos="708"/>
          <w:tab w:val="left" w:pos="1134" w:leader="none"/>
        </w:tabs>
        <w:ind w:firstLine="567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>Доля сметной стоимости в 2025 году - 0,75 (12 мес. из 16).</w:t>
      </w:r>
    </w:p>
    <w:p>
      <w:pPr>
        <w:pStyle w:val="Normal"/>
        <w:tabs>
          <w:tab w:val="clear" w:pos="708"/>
          <w:tab w:val="left" w:pos="1134" w:leader="none"/>
        </w:tabs>
        <w:ind w:firstLine="567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 xml:space="preserve">Годовой индекс инфляции по данным Министерства экономического развития (письмо от __.__.20__г №_____ «__________________»): </w:t>
      </w:r>
    </w:p>
    <w:p>
      <w:pPr>
        <w:pStyle w:val="Normal"/>
        <w:tabs>
          <w:tab w:val="clear" w:pos="708"/>
          <w:tab w:val="left" w:pos="1134" w:leader="none"/>
        </w:tabs>
        <w:ind w:firstLine="567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 xml:space="preserve">на 2024г. - 114,6%, </w:t>
      </w:r>
    </w:p>
    <w:p>
      <w:pPr>
        <w:pStyle w:val="Normal"/>
        <w:tabs>
          <w:tab w:val="clear" w:pos="708"/>
          <w:tab w:val="left" w:pos="1134" w:leader="none"/>
        </w:tabs>
        <w:ind w:firstLine="567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>на 2025г. – 107,0%:</w:t>
      </w:r>
    </w:p>
    <w:p>
      <w:pPr>
        <w:pStyle w:val="Normal"/>
        <w:tabs>
          <w:tab w:val="clear" w:pos="708"/>
          <w:tab w:val="left" w:pos="1134" w:leader="none"/>
        </w:tabs>
        <w:ind w:firstLine="567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>Ежемесячный индекс-инфляции:</w:t>
      </w:r>
    </w:p>
    <w:p>
      <w:pPr>
        <w:pStyle w:val="ConsPlusNormal1"/>
        <w:tabs>
          <w:tab w:val="clear" w:pos="708"/>
          <w:tab w:val="left" w:pos="1134" w:leader="none"/>
        </w:tabs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/>
        <mc:AlternateContent>
          <mc:Choice Requires="wps">
            <w:drawing>
              <wp:inline distT="0" distB="0" distL="0" distR="0" wp14:anchorId="1B262915">
                <wp:extent cx="2303780" cy="228600"/>
                <wp:effectExtent l="0" t="0" r="0" b="0"/>
                <wp:docPr id="1" name="TextBox 3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03640" cy="22860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NormalWeb"/>
                              <w:spacing w:before="0" w:after="0"/>
                              <w:rPr/>
                            </w:pPr>
                            <w:r>
                              <w:rPr/>
                            </w:r>
                            <m:oMath xmlns:m="http://schemas.openxmlformats.org/officeDocument/2006/math">
                              <m:r>
                                <w:rPr>
                                  <w:rFonts w:ascii="Cambria Math" w:hAnsi="Cambria Math"/>
                                </w:rPr>
                                <m:t xml:space="preserve">И</m:t>
                              </m:r>
                              <m:r>
                                <w:rPr>
                                  <w:rFonts w:ascii="Cambria Math" w:hAnsi="Cambria Math"/>
                                </w:rPr>
                                <m:t xml:space="preserve">инф</m:t>
                              </m:r>
                              <m:r>
                                <w:rPr>
                                  <w:rFonts w:ascii="Cambria Math" w:hAnsi="Cambria Math"/>
                                </w:rPr>
                                <m:t xml:space="preserve">мес</m:t>
                              </m:r>
                              <m:r>
                                <w:rPr>
                                  <w:rFonts w:ascii="Cambria Math" w:hAnsi="Cambria Math"/>
                                </w:rPr>
                                <m:t xml:space="preserve">2024</m:t>
                              </m:r>
                              <m:r>
                                <w:rPr>
                                  <w:rFonts w:ascii="Cambria Math" w:hAnsi="Cambria Math"/>
                                </w:rPr>
                                <m:t xml:space="preserve">=</m:t>
                              </m:r>
                              <m:rad>
                                <m:deg>
                                  <m:r>
                                    <w:rPr>
                                      <w:rFonts w:ascii="Cambria Math" w:hAnsi="Cambria Math"/>
                                    </w:rPr>
                                    <m:t xml:space="preserve">12</m:t>
                                  </m:r>
                                </m:deg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 xml:space="preserve">1.146</m:t>
                                  </m:r>
                                </m:e>
                              </m:rad>
                              <m:r>
                                <w:rPr>
                                  <w:rFonts w:ascii="Cambria Math" w:hAnsi="Cambria Math"/>
                                </w:rPr>
                                <m:t xml:space="preserve">=</m:t>
                              </m:r>
                              <m:r>
                                <w:rPr>
                                  <w:rFonts w:ascii="Cambria Math" w:hAnsi="Cambria Math"/>
                                </w:rPr>
                                <m:t xml:space="preserve">1,0114</m:t>
                              </m:r>
                            </m:oMath>
                            <w:r>
                              <w:rPr>
                                <w:iCs/>
                                <w:color w:val="000000" w:themeColor="text1"/>
                              </w:rPr>
                              <w:t xml:space="preserve"> </w:t>
                            </w:r>
                            <w:r>
                              <w:rPr>
                                <w:iCs/>
                                <w:color w:val="000000" w:themeColor="text1"/>
                                <w:sz w:val="28"/>
                                <w:szCs w:val="28"/>
                              </w:rPr>
                              <w:t xml:space="preserve">, </w:t>
                            </w:r>
                          </w:p>
                        </w:txbxContent>
                      </wps:txbx>
                      <wps:bodyPr lIns="0" rIns="0" tIns="0" bIns="0" anchor="t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shape_0" ID="TextBox 3" path="m0,0l-2147483645,0l-2147483645,-2147483646l0,-2147483646xe" stroked="f" o:allowincell="f" style="position:absolute;margin-left:0pt;margin-top:-18.05pt;width:181.35pt;height:17.95pt;mso-wrap-style:none;v-text-anchor:top;mso-position-vertical:top" wp14:anchorId="1B262915">
                <v:fill o:detectmouseclick="t" on="false"/>
                <v:stroke color="#3465a4" joinstyle="round" endcap="flat"/>
                <v:textbox>
                  <w:txbxContent>
                    <w:p>
                      <w:pPr>
                        <w:pStyle w:val="NormalWeb"/>
                        <w:spacing w:before="0" w:after="0"/>
                        <w:rPr/>
                      </w:pPr>
                      <w:r>
                        <w:rPr/>
                      </w:r>
                      <m:oMath xmlns:m="http://schemas.openxmlformats.org/officeDocument/2006/math">
                        <m:r>
                          <w:rPr>
                            <w:rFonts w:ascii="Cambria Math" w:hAnsi="Cambria Math"/>
                          </w:rPr>
                          <m:t xml:space="preserve">И</m:t>
                        </m:r>
                        <m:r>
                          <w:rPr>
                            <w:rFonts w:ascii="Cambria Math" w:hAnsi="Cambria Math"/>
                          </w:rPr>
                          <m:t xml:space="preserve">инф</m:t>
                        </m:r>
                        <m:r>
                          <w:rPr>
                            <w:rFonts w:ascii="Cambria Math" w:hAnsi="Cambria Math"/>
                          </w:rPr>
                          <m:t xml:space="preserve">мес</m:t>
                        </m:r>
                        <m:r>
                          <w:rPr>
                            <w:rFonts w:ascii="Cambria Math" w:hAnsi="Cambria Math"/>
                          </w:rPr>
                          <m:t xml:space="preserve">2024</m:t>
                        </m:r>
                        <m:r>
                          <w:rPr>
                            <w:rFonts w:ascii="Cambria Math" w:hAnsi="Cambria Math"/>
                          </w:rPr>
                          <m:t xml:space="preserve">=</m:t>
                        </m:r>
                        <m:rad>
                          <m:deg>
                            <m:r>
                              <w:rPr>
                                <w:rFonts w:ascii="Cambria Math" w:hAnsi="Cambria Math"/>
                              </w:rPr>
                              <m:t xml:space="preserve">12</m:t>
                            </m:r>
                          </m:deg>
                          <m:e>
                            <m:r>
                              <w:rPr>
                                <w:rFonts w:ascii="Cambria Math" w:hAnsi="Cambria Math"/>
                              </w:rPr>
                              <m:t xml:space="preserve">1.146</m:t>
                            </m:r>
                          </m:e>
                        </m:rad>
                        <m:r>
                          <w:rPr>
                            <w:rFonts w:ascii="Cambria Math" w:hAnsi="Cambria Math"/>
                          </w:rPr>
                          <m:t xml:space="preserve">=</m:t>
                        </m:r>
                        <m:r>
                          <w:rPr>
                            <w:rFonts w:ascii="Cambria Math" w:hAnsi="Cambria Math"/>
                          </w:rPr>
                          <m:t xml:space="preserve">1,0114</m:t>
                        </m:r>
                      </m:oMath>
                      <w:r>
                        <w:rPr>
                          <w:iCs/>
                          <w:color w:val="000000" w:themeColor="text1"/>
                        </w:rPr>
                        <w:t xml:space="preserve"> </w:t>
                      </w:r>
                      <w:r>
                        <w:rPr>
                          <w:iCs/>
                          <w:color w:val="000000" w:themeColor="text1"/>
                          <w:sz w:val="28"/>
                          <w:szCs w:val="28"/>
                        </w:rPr>
                        <w:t xml:space="preserve">, 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</w:p>
    <w:p>
      <w:pPr>
        <w:pStyle w:val="NormalWeb"/>
        <w:spacing w:before="0" w:after="0"/>
        <w:rPr>
          <w:rFonts w:ascii="Times New Roman" w:hAnsi="Times New Roman" w:cs="Times New Roman"/>
          <w:iCs/>
          <w:color w:val="000000" w:themeColor="text1"/>
          <w:sz w:val="22"/>
          <w:szCs w:val="22"/>
        </w:rPr>
      </w:pPr>
      <w:r>
        <w:rPr/>
      </w:r>
      <m:oMath xmlns:m="http://schemas.openxmlformats.org/officeDocument/2006/math">
        <m:r>
          <w:rPr>
            <w:rFonts w:ascii="Cambria Math" w:hAnsi="Cambria Math"/>
          </w:rPr>
          <m:t xml:space="preserve">И</m:t>
        </m:r>
        <m:r>
          <w:rPr>
            <w:rFonts w:ascii="Cambria Math" w:hAnsi="Cambria Math"/>
          </w:rPr>
          <m:t xml:space="preserve">инф</m:t>
        </m:r>
        <m:r>
          <w:rPr>
            <w:rFonts w:ascii="Cambria Math" w:hAnsi="Cambria Math"/>
          </w:rPr>
          <m:t xml:space="preserve">мес</m:t>
        </m:r>
        <m:r>
          <w:rPr>
            <w:rFonts w:ascii="Cambria Math" w:hAnsi="Cambria Math"/>
          </w:rPr>
          <m:t xml:space="preserve">2025</m:t>
        </m:r>
        <m:r>
          <w:rPr>
            <w:rFonts w:ascii="Cambria Math" w:hAnsi="Cambria Math"/>
          </w:rPr>
          <m:t xml:space="preserve">=</m:t>
        </m:r>
        <m:rad>
          <m:deg>
            <m:r>
              <w:rPr>
                <w:rFonts w:ascii="Cambria Math" w:hAnsi="Cambria Math"/>
              </w:rPr>
              <m:t xml:space="preserve">12</m:t>
            </m:r>
          </m:deg>
          <m:e>
            <m:r>
              <w:rPr>
                <w:rFonts w:ascii="Cambria Math" w:hAnsi="Cambria Math"/>
              </w:rPr>
              <m:t xml:space="preserve">1.07</m:t>
            </m:r>
          </m:e>
        </m:rad>
        <m:r>
          <w:rPr>
            <w:rFonts w:ascii="Cambria Math" w:hAnsi="Cambria Math"/>
          </w:rPr>
          <m:t xml:space="preserve">=</m:t>
        </m:r>
        <m:r>
          <w:rPr>
            <w:rFonts w:ascii="Cambria Math" w:hAnsi="Cambria Math"/>
          </w:rPr>
          <m:t xml:space="preserve">1,0057</m:t>
        </m:r>
      </m:oMath>
      <w:r>
        <w:rPr>
          <w:rFonts w:cs="Times New Roman" w:ascii="Times New Roman" w:hAnsi="Times New Roman"/>
          <w:iCs/>
          <w:color w:val="000000" w:themeColor="text1"/>
          <w:sz w:val="22"/>
          <w:szCs w:val="22"/>
        </w:rPr>
        <w:t xml:space="preserve">, </w:t>
      </w:r>
    </w:p>
    <w:p>
      <w:pPr>
        <w:pStyle w:val="ConsPlusNormal1"/>
        <w:widowControl/>
        <w:tabs>
          <w:tab w:val="clear" w:pos="708"/>
          <w:tab w:val="left" w:pos="1134" w:leader="none"/>
        </w:tabs>
        <w:spacing w:before="0" w:after="40"/>
        <w:ind w:firstLine="567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cs="Times New Roman" w:ascii="Times New Roman" w:hAnsi="Times New Roman"/>
          <w:color w:val="000000"/>
          <w:sz w:val="22"/>
          <w:szCs w:val="22"/>
        </w:rPr>
        <w:t>Индекс-инфляции на период исполнения договора</w:t>
      </w:r>
    </w:p>
    <w:p>
      <w:pPr>
        <w:pStyle w:val="Normal"/>
        <w:tabs>
          <w:tab w:val="clear" w:pos="708"/>
          <w:tab w:val="left" w:pos="0" w:leader="none"/>
        </w:tabs>
        <w:rPr>
          <w:rFonts w:ascii="Times New Roman" w:hAnsi="Times New Roman"/>
          <w:i/>
          <w:i/>
          <w:iCs/>
        </w:rPr>
      </w:pPr>
      <w:r>
        <w:rPr>
          <w:rFonts w:ascii="Times New Roman" w:hAnsi="Times New Roman"/>
          <w:i/>
          <w:iCs/>
        </w:rPr>
        <mc:AlternateContent>
          <mc:Choice Requires="wps">
            <w:drawing>
              <wp:anchor behindDoc="0" distT="0" distB="0" distL="0" distR="0" simplePos="0" locked="0" layoutInCell="0" allowOverlap="1" relativeHeight="6" wp14:anchorId="62B63044">
                <wp:simplePos x="0" y="0"/>
                <wp:positionH relativeFrom="column">
                  <wp:posOffset>41910</wp:posOffset>
                </wp:positionH>
                <wp:positionV relativeFrom="paragraph">
                  <wp:posOffset>8890</wp:posOffset>
                </wp:positionV>
                <wp:extent cx="3253740" cy="403860"/>
                <wp:effectExtent l="0" t="0" r="0" b="0"/>
                <wp:wrapNone/>
                <wp:docPr id="3" name="TextBox 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53680" cy="40392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NormalWeb"/>
                              <w:spacing w:before="0" w:after="0"/>
                              <w:ind w:left="-567" w:hanging="0"/>
                              <w:jc w:val="center"/>
                              <w:rPr/>
                            </w:pPr>
                            <w:r>
                              <w:rPr/>
                            </w:r>
                            <m:oMathPara xmlns:m="http://schemas.openxmlformats.org/officeDocument/2006/math">
                              <m:oMathParaPr>
                                <m:jc m:val="center"/>
                              </m:oMathParaPr>
                              <m:oMath>
                                <m:r>
                                  <w:rPr>
                                    <w:rFonts w:ascii="Cambria Math" w:hAnsi="Cambria Math"/>
                                  </w:rPr>
                                  <m:t xml:space="preserve">И</m:t>
                                </m:r>
                                <m:r>
                                  <w:rPr>
                                    <w:rFonts w:ascii="Cambria Math" w:hAnsi="Cambria Math"/>
                                  </w:rPr>
                                  <m:t xml:space="preserve">инфл</m:t>
                                </m:r>
                                <m:r>
                                  <w:rPr>
                                    <w:rFonts w:ascii="Cambria Math" w:hAnsi="Cambria Math"/>
                                  </w:rPr>
                                  <m:t xml:space="preserve">пер</m:t>
                                </m:r>
                                <m:r>
                                  <w:rPr>
                                    <w:rFonts w:ascii="Cambria Math" w:hAnsi="Cambria Math"/>
                                  </w:rPr>
                                  <m:t xml:space="preserve">2024</m:t>
                                </m:r>
                                <m:r>
                                  <w:rPr>
                                    <w:rFonts w:ascii="Cambria Math" w:hAnsi="Cambria Math"/>
                                  </w:rPr>
                                  <m:t xml:space="preserve">=</m:t>
                                </m:r>
                                <m:d>
                                  <m:dPr>
                                    <m:begChr m:val="("/>
                                    <m:endChr m:val=")"/>
                                  </m:dPr>
                                  <m:e>
                                    <m:f>
                                      <m:num>
                                        <m:sSup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</w:rPr>
                                              <m:t xml:space="preserve">1,0114</m:t>
                                            </m:r>
                                          </m:e>
                                          <m:sup>
                                            <m:r>
                                              <w:rPr>
                                                <w:rFonts w:ascii="Cambria Math" w:hAnsi="Cambria Math"/>
                                              </w:rPr>
                                              <m:t xml:space="preserve">3</m:t>
                                            </m:r>
                                          </m:sup>
                                        </m:sSup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 xml:space="preserve">−</m:t>
                                        </m:r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 xml:space="preserve">1</m:t>
                                        </m:r>
                                      </m:num>
                                      <m:den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 xml:space="preserve">2</m:t>
                                        </m:r>
                                      </m:den>
                                    </m:f>
                                  </m:e>
                                </m:d>
                                <m:r>
                                  <w:rPr>
                                    <w:rFonts w:ascii="Cambria Math" w:hAnsi="Cambria Math"/>
                                  </w:rPr>
                                  <m:t xml:space="preserve">+</m:t>
                                </m:r>
                                <m:r>
                                  <w:rPr>
                                    <w:rFonts w:ascii="Cambria Math" w:hAnsi="Cambria Math"/>
                                  </w:rPr>
                                  <m:t xml:space="preserve">1</m:t>
                                </m:r>
                                <m:r>
                                  <w:rPr>
                                    <w:rFonts w:ascii="Cambria Math" w:hAnsi="Cambria Math"/>
                                  </w:rPr>
                                  <m:t xml:space="preserve">=</m:t>
                                </m:r>
                                <m:r>
                                  <w:rPr>
                                    <w:rFonts w:ascii="Cambria Math" w:hAnsi="Cambria Math"/>
                                  </w:rPr>
                                  <m:t xml:space="preserve">1,0173</m:t>
                                </m:r>
                              </m:oMath>
                            </m:oMathPara>
                          </w:p>
                        </w:txbxContent>
                      </wps:txbx>
                      <wps:bodyPr lIns="0" rIns="0" t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TextBox 4" path="m0,0l-2147483645,0l-2147483645,-2147483646l0,-2147483646xe" stroked="f" o:allowincell="f" style="position:absolute;margin-left:3.3pt;margin-top:0.7pt;width:256.15pt;height:31.75pt;mso-wrap-style:none;v-text-anchor:middle" wp14:anchorId="62B63044">
                <v:fill o:detectmouseclick="t" on="false"/>
                <v:stroke color="#3465a4" joinstyle="round" endcap="flat"/>
                <v:textbox>
                  <w:txbxContent>
                    <w:p>
                      <w:pPr>
                        <w:pStyle w:val="NormalWeb"/>
                        <w:spacing w:before="0" w:after="0"/>
                        <w:ind w:left="-567" w:hanging="0"/>
                        <w:jc w:val="center"/>
                        <w:rPr/>
                      </w:pPr>
                      <w:r>
                        <w:rPr/>
                      </w:r>
                      <m:oMathPara xmlns:m="http://schemas.openxmlformats.org/officeDocument/2006/math">
                        <m:oMathParaPr>
                          <m:jc m:val="center"/>
                        </m:oMathParaPr>
                        <m:oMath>
                          <m:r>
                            <w:rPr>
                              <w:rFonts w:ascii="Cambria Math" w:hAnsi="Cambria Math"/>
                            </w:rPr>
                            <m:t xml:space="preserve">И</m:t>
                          </m:r>
                          <m:r>
                            <w:rPr>
                              <w:rFonts w:ascii="Cambria Math" w:hAnsi="Cambria Math"/>
                            </w:rPr>
                            <m:t xml:space="preserve">инфл</m:t>
                          </m:r>
                          <m:r>
                            <w:rPr>
                              <w:rFonts w:ascii="Cambria Math" w:hAnsi="Cambria Math"/>
                            </w:rPr>
                            <m:t xml:space="preserve">пер</m:t>
                          </m:r>
                          <m:r>
                            <w:rPr>
                              <w:rFonts w:ascii="Cambria Math" w:hAnsi="Cambria Math"/>
                            </w:rPr>
                            <m:t xml:space="preserve">2024</m:t>
                          </m:r>
                          <m:r>
                            <w:rPr>
                              <w:rFonts w:ascii="Cambria Math" w:hAnsi="Cambria Math"/>
                            </w:rPr>
                            <m:t xml:space="preserve">=</m:t>
                          </m:r>
                          <m:d>
                            <m:dPr>
                              <m:begChr m:val="("/>
                              <m:endChr m:val=")"/>
                            </m:dPr>
                            <m:e>
                              <m:f>
                                <m:num>
                                  <m:sSup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 xml:space="preserve">1,0114</m:t>
                                      </m:r>
                                    </m:e>
                                    <m:sup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 xml:space="preserve">3</m:t>
                                      </m:r>
                                    </m:sup>
                                  </m:sSup>
                                  <m:r>
                                    <w:rPr>
                                      <w:rFonts w:ascii="Cambria Math" w:hAnsi="Cambria Math"/>
                                    </w:rPr>
                                    <m:t xml:space="preserve">−</m:t>
                                  </m:r>
                                  <m:r>
                                    <w:rPr>
                                      <w:rFonts w:ascii="Cambria Math" w:hAnsi="Cambria Math"/>
                                    </w:rPr>
                                    <m:t xml:space="preserve">1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</w:rPr>
                                    <m:t xml:space="preserve">2</m:t>
                                  </m:r>
                                </m:den>
                              </m:f>
                            </m:e>
                          </m:d>
                          <m:r>
                            <w:rPr>
                              <w:rFonts w:ascii="Cambria Math" w:hAnsi="Cambria Math"/>
                            </w:rPr>
                            <m:t xml:space="preserve">+</m:t>
                          </m:r>
                          <m:r>
                            <w:rPr>
                              <w:rFonts w:ascii="Cambria Math" w:hAnsi="Cambria Math"/>
                            </w:rPr>
                            <m:t xml:space="preserve">1</m:t>
                          </m:r>
                          <m:r>
                            <w:rPr>
                              <w:rFonts w:ascii="Cambria Math" w:hAnsi="Cambria Math"/>
                            </w:rPr>
                            <m:t xml:space="preserve">=</m:t>
                          </m:r>
                          <m:r>
                            <w:rPr>
                              <w:rFonts w:ascii="Cambria Math" w:hAnsi="Cambria Math"/>
                            </w:rPr>
                            <m:t xml:space="preserve">1,0173</m:t>
                          </m:r>
                        </m:oMath>
                      </m:oMathPara>
                    </w:p>
                  </w:txbxContent>
                </v:textbox>
                <w10:wrap type="none"/>
              </v:rect>
            </w:pict>
          </mc:Fallback>
        </mc:AlternateContent>
      </w:r>
    </w:p>
    <w:p>
      <w:pPr>
        <w:pStyle w:val="ConsPlusNormal1"/>
        <w:widowControl/>
        <w:tabs>
          <w:tab w:val="clear" w:pos="708"/>
          <w:tab w:val="left" w:pos="0" w:leader="none"/>
        </w:tabs>
        <w:spacing w:before="0" w:after="4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cs="Times New Roman" w:ascii="Times New Roman" w:hAnsi="Times New Roman"/>
          <w:color w:val="000000"/>
          <w:sz w:val="22"/>
          <w:szCs w:val="22"/>
        </w:rPr>
      </w:r>
    </w:p>
    <w:p>
      <w:pPr>
        <w:pStyle w:val="Normal"/>
        <w:tabs>
          <w:tab w:val="clear" w:pos="708"/>
          <w:tab w:val="left" w:pos="1134" w:leader="none"/>
        </w:tabs>
        <w:ind w:firstLine="567"/>
        <w:rPr>
          <w:rFonts w:ascii="Times New Roman" w:hAnsi="Times New Roman"/>
          <w:i/>
          <w:i/>
          <w:iCs/>
        </w:rPr>
      </w:pPr>
      <w:r>
        <w:rPr>
          <w:rFonts w:ascii="Times New Roman" w:hAnsi="Times New Roman"/>
          <w:i/>
          <w:iCs/>
        </w:rPr>
        <mc:AlternateContent>
          <mc:Choice Requires="wps">
            <w:drawing>
              <wp:anchor behindDoc="0" distT="0" distB="0" distL="0" distR="0" simplePos="0" locked="0" layoutInCell="0" allowOverlap="1" relativeHeight="8" wp14:anchorId="330D1A6D">
                <wp:simplePos x="0" y="0"/>
                <wp:positionH relativeFrom="margin">
                  <wp:align>left</wp:align>
                </wp:positionH>
                <wp:positionV relativeFrom="paragraph">
                  <wp:posOffset>5715</wp:posOffset>
                </wp:positionV>
                <wp:extent cx="3680460" cy="373380"/>
                <wp:effectExtent l="0" t="0" r="0" b="0"/>
                <wp:wrapNone/>
                <wp:docPr id="5" name="TextBox 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80640" cy="37332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NormalWeb"/>
                              <w:spacing w:before="0" w:after="0"/>
                              <w:jc w:val="center"/>
                              <w:rPr/>
                            </w:pPr>
                            <w:r>
                              <w:rPr/>
                            </w:r>
                            <m:oMathPara xmlns:m="http://schemas.openxmlformats.org/officeDocument/2006/math">
                              <m:oMathParaPr>
                                <m:jc m:val="center"/>
                              </m:oMathParaPr>
                              <m:oMath>
                                <m:r>
                                  <w:rPr>
                                    <w:rFonts w:ascii="Cambria Math" w:hAnsi="Cambria Math"/>
                                  </w:rPr>
                                  <m:t xml:space="preserve">И</m:t>
                                </m:r>
                                <m:r>
                                  <w:rPr>
                                    <w:rFonts w:ascii="Cambria Math" w:hAnsi="Cambria Math"/>
                                  </w:rPr>
                                  <m:t xml:space="preserve">инфл</m:t>
                                </m:r>
                                <m:r>
                                  <w:rPr>
                                    <w:rFonts w:ascii="Cambria Math" w:hAnsi="Cambria Math"/>
                                  </w:rPr>
                                  <m:t xml:space="preserve">пер</m:t>
                                </m:r>
                                <m:r>
                                  <w:rPr>
                                    <w:rFonts w:ascii="Cambria Math" w:hAnsi="Cambria Math"/>
                                  </w:rPr>
                                  <m:t xml:space="preserve">2025</m:t>
                                </m:r>
                                <m:r>
                                  <w:rPr>
                                    <w:rFonts w:ascii="Cambria Math" w:hAnsi="Cambria Math"/>
                                  </w:rPr>
                                  <m:t xml:space="preserve">=</m:t>
                                </m:r>
                                <m:sSup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 xml:space="preserve">1,0114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</w:rPr>
                                      <m:t xml:space="preserve">3</m:t>
                                    </m:r>
                                  </m:sup>
                                </m:sSup>
                                <m:d>
                                  <m:dPr>
                                    <m:begChr m:val="("/>
                                    <m:endChr m:val=")"/>
                                  </m:dPr>
                                  <m:e>
                                    <m:f>
                                      <m:num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 xml:space="preserve">1,0057</m:t>
                                        </m:r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 xml:space="preserve">+</m:t>
                                        </m:r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 xml:space="preserve">1,07</m:t>
                                        </m:r>
                                      </m:num>
                                      <m:den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 xml:space="preserve">2</m:t>
                                        </m:r>
                                      </m:den>
                                    </m:f>
                                  </m:e>
                                </m:d>
                                <m:r>
                                  <w:rPr>
                                    <w:rFonts w:ascii="Cambria Math" w:hAnsi="Cambria Math"/>
                                  </w:rPr>
                                  <m:t xml:space="preserve">=</m:t>
                                </m:r>
                                <m:r>
                                  <w:rPr>
                                    <w:rFonts w:ascii="Cambria Math" w:hAnsi="Cambria Math"/>
                                  </w:rPr>
                                  <m:t xml:space="preserve">1,0738</m:t>
                                </m:r>
                              </m:oMath>
                            </m:oMathPara>
                          </w:p>
                        </w:txbxContent>
                      </wps:txbx>
                      <wps:bodyPr lIns="0" rIns="0" t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TextBox 4" path="m0,0l-2147483645,0l-2147483645,-2147483646l0,-2147483646xe" stroked="f" o:allowincell="f" style="position:absolute;margin-left:0pt;margin-top:0.45pt;width:289.75pt;height:29.35pt;mso-wrap-style:none;v-text-anchor:middle;mso-position-horizontal:left;mso-position-horizontal-relative:margin" wp14:anchorId="330D1A6D">
                <v:fill o:detectmouseclick="t" on="false"/>
                <v:stroke color="#3465a4" joinstyle="round" endcap="flat"/>
                <v:textbox>
                  <w:txbxContent>
                    <w:p>
                      <w:pPr>
                        <w:pStyle w:val="NormalWeb"/>
                        <w:spacing w:before="0" w:after="0"/>
                        <w:jc w:val="center"/>
                        <w:rPr/>
                      </w:pPr>
                      <w:r>
                        <w:rPr/>
                      </w:r>
                      <m:oMathPara xmlns:m="http://schemas.openxmlformats.org/officeDocument/2006/math">
                        <m:oMathParaPr>
                          <m:jc m:val="center"/>
                        </m:oMathParaPr>
                        <m:oMath>
                          <m:r>
                            <w:rPr>
                              <w:rFonts w:ascii="Cambria Math" w:hAnsi="Cambria Math"/>
                            </w:rPr>
                            <m:t xml:space="preserve">И</m:t>
                          </m:r>
                          <m:r>
                            <w:rPr>
                              <w:rFonts w:ascii="Cambria Math" w:hAnsi="Cambria Math"/>
                            </w:rPr>
                            <m:t xml:space="preserve">инфл</m:t>
                          </m:r>
                          <m:r>
                            <w:rPr>
                              <w:rFonts w:ascii="Cambria Math" w:hAnsi="Cambria Math"/>
                            </w:rPr>
                            <m:t xml:space="preserve">пер</m:t>
                          </m:r>
                          <m:r>
                            <w:rPr>
                              <w:rFonts w:ascii="Cambria Math" w:hAnsi="Cambria Math"/>
                            </w:rPr>
                            <m:t xml:space="preserve">2025</m:t>
                          </m:r>
                          <m:r>
                            <w:rPr>
                              <w:rFonts w:ascii="Cambria Math" w:hAnsi="Cambria Math"/>
                            </w:rPr>
                            <m:t xml:space="preserve">=</m:t>
                          </m:r>
                          <m:sSup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 xml:space="preserve">1,0114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 xml:space="preserve">3</m:t>
                              </m:r>
                            </m:sup>
                          </m:sSup>
                          <m:d>
                            <m:dPr>
                              <m:begChr m:val="("/>
                              <m:endChr m:val=")"/>
                            </m:dPr>
                            <m:e>
                              <m:f>
                                <m:num>
                                  <m:r>
                                    <w:rPr>
                                      <w:rFonts w:ascii="Cambria Math" w:hAnsi="Cambria Math"/>
                                    </w:rPr>
                                    <m:t xml:space="preserve">1,0057</m:t>
                                  </m:r>
                                  <m:r>
                                    <w:rPr>
                                      <w:rFonts w:ascii="Cambria Math" w:hAnsi="Cambria Math"/>
                                    </w:rPr>
                                    <m:t xml:space="preserve">+</m:t>
                                  </m:r>
                                  <m:r>
                                    <w:rPr>
                                      <w:rFonts w:ascii="Cambria Math" w:hAnsi="Cambria Math"/>
                                    </w:rPr>
                                    <m:t xml:space="preserve">1,07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</w:rPr>
                                    <m:t xml:space="preserve">2</m:t>
                                  </m:r>
                                </m:den>
                              </m:f>
                            </m:e>
                          </m:d>
                          <m:r>
                            <w:rPr>
                              <w:rFonts w:ascii="Cambria Math" w:hAnsi="Cambria Math"/>
                            </w:rPr>
                            <m:t xml:space="preserve">=</m:t>
                          </m:r>
                          <m:r>
                            <w:rPr>
                              <w:rFonts w:ascii="Cambria Math" w:hAnsi="Cambria Math"/>
                            </w:rPr>
                            <m:t xml:space="preserve">1,0738</m:t>
                          </m:r>
                        </m:oMath>
                      </m:oMathPara>
                    </w:p>
                  </w:txbxContent>
                </v:textbox>
                <w10:wrap type="none"/>
              </v:rect>
            </w:pict>
          </mc:Fallback>
        </mc:AlternateContent>
      </w:r>
    </w:p>
    <w:p>
      <w:pPr>
        <w:pStyle w:val="Normal"/>
        <w:tabs>
          <w:tab w:val="clear" w:pos="708"/>
          <w:tab w:val="left" w:pos="1134" w:leader="none"/>
        </w:tabs>
        <w:ind w:firstLine="567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>Итого индекс-инфляции на 2024-2025гг. 0,25*1,0173+0,75*1,0738=1,0597</w:t>
      </w:r>
    </w:p>
    <w:p>
      <w:pPr>
        <w:pStyle w:val="Normal"/>
        <w:rPr>
          <w:rFonts w:ascii="Times New Roman" w:hAnsi="Times New Roman"/>
        </w:rPr>
      </w:pPr>
      <w:r>
        <w:rPr/>
        <w:drawing>
          <wp:inline distT="0" distB="0" distL="0" distR="0">
            <wp:extent cx="5930900" cy="3149600"/>
            <wp:effectExtent l="0" t="0" r="0" b="0"/>
            <wp:docPr id="7" name="Рисунок 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Рисунок 1" descr="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 l="0" t="8380" r="0" b="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0900" cy="314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rPr>
          <w:rFonts w:ascii="Times New Roman" w:hAnsi="Times New Roman"/>
        </w:rPr>
      </w:pPr>
      <w:r>
        <w:rPr>
          <w:rFonts w:eastAsia="Calibri" w:ascii="Times New Roman" w:hAnsi="Times New Roman"/>
          <w:lang w:eastAsia="en-US"/>
        </w:rPr>
        <w:t>Если договором предусмотрен график выполнения работ с разбивкой на этапы</w:t>
      </w:r>
      <w:r>
        <w:rPr>
          <w:rFonts w:ascii="Times New Roman" w:hAnsi="Times New Roman"/>
        </w:rPr>
        <w:t>, индекс-дефлятор рассчитывается индивидуально для каждого этапа в соответствии с формулой 2  пункта 9 раздела 3.3.6 Методики (аналогично примеру расчета единого индекса-дефлятора к договору приложение 10).</w:t>
      </w:r>
    </w:p>
    <w:p>
      <w:pPr>
        <w:pStyle w:val="Dt-p"/>
        <w:shd w:val="clear" w:color="auto" w:fill="FFFFFF"/>
        <w:spacing w:beforeAutospacing="0" w:before="0" w:after="280"/>
        <w:ind w:firstLine="567"/>
        <w:jc w:val="center"/>
        <w:textAlignment w:val="baseline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Пример расчета индекса фактической инфляции</w:t>
      </w:r>
    </w:p>
    <w:p>
      <w:pPr>
        <w:pStyle w:val="Dt-p"/>
        <w:shd w:val="clear" w:color="auto" w:fill="FFFFFF"/>
        <w:spacing w:beforeAutospacing="0" w:before="0" w:afterAutospacing="0" w:after="0"/>
        <w:ind w:firstLine="567"/>
        <w:jc w:val="both"/>
        <w:textAlignment w:val="baseline"/>
        <w:rPr>
          <w:iCs/>
          <w:sz w:val="22"/>
          <w:szCs w:val="22"/>
        </w:rPr>
      </w:pPr>
      <w:r>
        <w:rPr>
          <w:iCs/>
          <w:sz w:val="22"/>
          <w:szCs w:val="22"/>
        </w:rPr>
        <w:t xml:space="preserve">В соответствии с условиями Договора начало строительства – декабрь 2023г, окончание май 2024 г. Продолжительность реконструкции / строительства составляет–6 месяцев. Уровень цен – </w:t>
      </w:r>
      <w:r>
        <w:rPr>
          <w:iCs/>
          <w:sz w:val="22"/>
          <w:szCs w:val="22"/>
          <w:u w:val="single"/>
        </w:rPr>
        <w:t>3 квартал 2022</w:t>
      </w:r>
      <w:r>
        <w:rPr>
          <w:iCs/>
          <w:sz w:val="22"/>
          <w:szCs w:val="22"/>
        </w:rPr>
        <w:t xml:space="preserve"> г. Сметная документация составлена с применением СНБ – ГЭСН-2020, ФЕР-2020 (с изм 1-7). </w:t>
      </w:r>
    </w:p>
    <w:p>
      <w:pPr>
        <w:pStyle w:val="Dt-p"/>
        <w:shd w:val="clear" w:color="auto" w:fill="FFFFFF"/>
        <w:spacing w:beforeAutospacing="0" w:before="0" w:afterAutospacing="0" w:after="0"/>
        <w:ind w:firstLine="567"/>
        <w:jc w:val="both"/>
        <w:textAlignment w:val="baseline"/>
        <w:rPr>
          <w:iCs/>
          <w:sz w:val="22"/>
          <w:szCs w:val="22"/>
        </w:rPr>
      </w:pPr>
      <w:r>
        <w:rPr>
          <w:iCs/>
          <w:sz w:val="22"/>
          <w:szCs w:val="22"/>
        </w:rPr>
        <w:t>Т.к. сметная документация разработана с применением СНБ не действующей на дату определения ПЦ, то расчет сметной стоимости работ в уровень цен на дату определения ПЦ осуществляется с использованием индекса фактической инфляции.</w:t>
      </w:r>
    </w:p>
    <w:p>
      <w:pPr>
        <w:pStyle w:val="Dt-p"/>
        <w:shd w:val="clear" w:color="auto" w:fill="FFFFFF"/>
        <w:spacing w:beforeAutospacing="0" w:before="0" w:afterAutospacing="0" w:after="0"/>
        <w:ind w:firstLine="567"/>
        <w:jc w:val="both"/>
        <w:textAlignment w:val="baseline"/>
        <w:rPr>
          <w:iCs/>
          <w:sz w:val="22"/>
          <w:szCs w:val="22"/>
        </w:rPr>
      </w:pPr>
      <w:r>
        <w:rPr>
          <w:iCs/>
          <w:sz w:val="22"/>
          <w:szCs w:val="22"/>
        </w:rPr>
      </w:r>
    </w:p>
    <w:p>
      <w:pPr>
        <w:pStyle w:val="Normal"/>
        <w:rPr>
          <w:rFonts w:ascii="Times New Roman" w:hAnsi="Times New Roman"/>
        </w:rPr>
      </w:pPr>
      <w:r>
        <w:rPr/>
        <w:drawing>
          <wp:inline distT="0" distB="0" distL="0" distR="0">
            <wp:extent cx="5931535" cy="4460875"/>
            <wp:effectExtent l="0" t="0" r="0" b="0"/>
            <wp:docPr id="8" name="Рисунок 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Рисунок 2" descr="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1535" cy="4460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ConsPlusNormal1"/>
        <w:widowControl/>
        <w:tabs>
          <w:tab w:val="clear" w:pos="708"/>
          <w:tab w:val="left" w:pos="993" w:leader="none"/>
          <w:tab w:val="left" w:pos="1134" w:leader="none"/>
        </w:tabs>
        <w:ind w:firstLine="567"/>
        <w:jc w:val="both"/>
        <w:rPr>
          <w:rFonts w:ascii="Times New Roman" w:hAnsi="Times New Roman" w:cs="Times New Roman"/>
          <w:sz w:val="22"/>
          <w:szCs w:val="22"/>
          <w:lang w:val="en-US"/>
        </w:rPr>
      </w:pPr>
      <w:r>
        <w:rPr>
          <w:rFonts w:cs="Times New Roman" w:ascii="Times New Roman" w:hAnsi="Times New Roman"/>
          <w:sz w:val="22"/>
          <w:szCs w:val="22"/>
          <w:lang w:val="en-US"/>
        </w:rPr>
      </w:r>
    </w:p>
    <w:p>
      <w:pPr>
        <w:pStyle w:val="ConsPlusNormal1"/>
        <w:ind w:left="57" w:firstLine="72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                                                                                                   </w:t>
      </w:r>
    </w:p>
    <w:p>
      <w:pPr>
        <w:pStyle w:val="Normal"/>
        <w:spacing w:lineRule="auto" w:line="240" w:before="0" w:after="0"/>
        <w:ind w:left="6373" w:firstLine="720"/>
        <w:jc w:val="right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</w:r>
    </w:p>
    <w:p>
      <w:pPr>
        <w:pStyle w:val="Normal"/>
        <w:spacing w:lineRule="auto" w:line="240" w:before="0" w:after="0"/>
        <w:ind w:left="6373" w:firstLine="720"/>
        <w:jc w:val="right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</w:r>
    </w:p>
    <w:p>
      <w:pPr>
        <w:pStyle w:val="Normal"/>
        <w:spacing w:lineRule="auto" w:line="240" w:before="0" w:after="0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firstLine="720"/>
        <w:rPr>
          <w:rFonts w:ascii="Times New Roman" w:hAnsi="Times New Roman"/>
        </w:rPr>
      </w:pPr>
      <w:r>
        <w:rPr/>
      </w:r>
    </w:p>
    <w:sectPr>
      <w:footerReference w:type="default" r:id="rId24"/>
      <w:footerReference w:type="first" r:id="rId25"/>
      <w:footnotePr>
        <w:numFmt w:val="decimal"/>
        <w:numRestart w:val="eachPage"/>
      </w:footnotePr>
      <w:type w:val="nextPage"/>
      <w:pgSz w:orient="landscape" w:w="16838" w:h="11906"/>
      <w:pgMar w:left="1134" w:right="1134" w:gutter="0" w:header="0" w:top="1701" w:footer="709" w:bottom="851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Cambria">
    <w:charset w:val="01"/>
    <w:family w:val="roman"/>
    <w:pitch w:val="variable"/>
  </w:font>
  <w:font w:name="Times New Roman">
    <w:charset w:val="01"/>
    <w:family w:val="roman"/>
    <w:pitch w:val="variable"/>
  </w:font>
  <w:font w:name="Tahoma">
    <w:charset w:val="01"/>
    <w:family w:val="roman"/>
    <w:pitch w:val="variable"/>
  </w:font>
  <w:font w:name="Arial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Verdana">
    <w:charset w:val="01"/>
    <w:family w:val="roman"/>
    <w:pitch w:val="variable"/>
  </w:font>
  <w:font w:name="Garamond">
    <w:charset w:val="01"/>
    <w:family w:val="roman"/>
    <w:pitch w:val="variable"/>
  </w:font>
  <w:font w:name="Courier New">
    <w:charset w:val="01"/>
    <w:family w:val="roman"/>
    <w:pitch w:val="variable"/>
  </w:font>
  <w:font w:name="Symbol">
    <w:charset w:val="02"/>
    <w:family w:val="auto"/>
    <w:pitch w:val="default"/>
  </w:font>
  <w:font w:name="Courier New">
    <w:charset w:val="01"/>
    <w:family w:val="modern"/>
    <w:pitch w:val="fixed"/>
  </w:font>
  <w:font w:name="Wingdings">
    <w:charset w:val="02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7845339"/>
    </w:sdtPr>
    <w:sdtContent>
      <w:p>
        <w:pPr>
          <w:pStyle w:val="Foot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1</w:t>
        </w:r>
        <w:r>
          <w:rPr/>
          <w:fldChar w:fldCharType="end"/>
        </w:r>
      </w:p>
      <w:p>
        <w:pPr>
          <w:pStyle w:val="Footer"/>
          <w:rPr/>
        </w:pPr>
        <w:r>
          <w:rPr/>
        </w:r>
      </w:p>
    </w:sdtContent>
  </w:sdt>
</w:ftr>
</file>

<file path=word/footer10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670691728"/>
    </w:sdtPr>
    <w:sdtContent>
      <w:p>
        <w:pPr>
          <w:pStyle w:val="Footer"/>
          <w:jc w:val="right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10</w:t>
        </w:r>
        <w:r>
          <w:rPr/>
          <w:fldChar w:fldCharType="end"/>
        </w:r>
      </w:p>
      <w:p>
        <w:pPr>
          <w:pStyle w:val="Footer"/>
          <w:rPr/>
        </w:pPr>
        <w:r>
          <w:rPr/>
        </w:r>
      </w:p>
    </w:sdtContent>
  </w:sdt>
</w:ftr>
</file>

<file path=word/footer1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1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445699768"/>
    </w:sdtPr>
    <w:sdtContent>
      <w:p>
        <w:pPr>
          <w:pStyle w:val="Footer"/>
          <w:jc w:val="right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19</w:t>
        </w:r>
        <w:r>
          <w:rPr/>
          <w:fldChar w:fldCharType="end"/>
        </w:r>
      </w:p>
      <w:p>
        <w:pPr>
          <w:pStyle w:val="Footer"/>
          <w:rPr/>
        </w:pPr>
        <w:r>
          <w:rPr/>
        </w:r>
      </w:p>
    </w:sdtContent>
  </w:sdt>
</w:ftr>
</file>

<file path=word/footer1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1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584209034"/>
    </w:sdtPr>
    <w:sdtContent>
      <w:p>
        <w:pPr>
          <w:pStyle w:val="Footer"/>
          <w:jc w:val="right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22</w:t>
        </w:r>
        <w:r>
          <w:rPr/>
          <w:fldChar w:fldCharType="end"/>
        </w:r>
      </w:p>
      <w:p>
        <w:pPr>
          <w:pStyle w:val="Footer"/>
          <w:rPr/>
        </w:pPr>
        <w:r>
          <w:rPr/>
        </w:r>
      </w:p>
    </w:sdtContent>
  </w:sdt>
</w:ftr>
</file>

<file path=word/footer1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16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045631265"/>
    </w:sdtPr>
    <w:sdtContent>
      <w:p>
        <w:pPr>
          <w:pStyle w:val="Footer"/>
          <w:jc w:val="right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30</w:t>
        </w:r>
        <w:r>
          <w:rPr/>
          <w:fldChar w:fldCharType="end"/>
        </w:r>
      </w:p>
      <w:p>
        <w:pPr>
          <w:pStyle w:val="Footer"/>
          <w:rPr/>
        </w:pPr>
        <w:r>
          <w:rPr/>
        </w:r>
      </w:p>
    </w:sdtContent>
  </w:sdt>
</w:ftr>
</file>

<file path=word/footer17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92363615"/>
    </w:sdtPr>
    <w:sdtContent>
      <w:p>
        <w:pPr>
          <w:pStyle w:val="Foot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2</w:t>
        </w:r>
        <w:r>
          <w:rPr/>
          <w:fldChar w:fldCharType="end"/>
        </w:r>
      </w:p>
      <w:p>
        <w:pPr>
          <w:pStyle w:val="Footer"/>
          <w:rPr/>
        </w:pPr>
        <w:r>
          <w:rPr/>
        </w:r>
      </w:p>
    </w:sdtContent>
  </w:sdt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017950097"/>
    </w:sdtPr>
    <w:sdtContent>
      <w:p>
        <w:pPr>
          <w:pStyle w:val="Footer"/>
          <w:jc w:val="right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4</w:t>
        </w:r>
        <w:r>
          <w:rPr/>
          <w:fldChar w:fldCharType="end"/>
        </w:r>
      </w:p>
      <w:p>
        <w:pPr>
          <w:pStyle w:val="Footer"/>
          <w:rPr/>
        </w:pPr>
        <w:r>
          <w:rPr/>
        </w:r>
      </w:p>
    </w:sdtContent>
  </w:sdt>
</w:ftr>
</file>

<file path=word/footer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6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920874286"/>
    </w:sdtPr>
    <w:sdtContent>
      <w:p>
        <w:pPr>
          <w:pStyle w:val="Footer"/>
          <w:jc w:val="right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8</w:t>
        </w:r>
        <w:r>
          <w:rPr/>
          <w:fldChar w:fldCharType="end"/>
        </w:r>
      </w:p>
      <w:p>
        <w:pPr>
          <w:pStyle w:val="Footer"/>
          <w:rPr/>
        </w:pPr>
        <w:r>
          <w:rPr/>
        </w:r>
      </w:p>
    </w:sdtContent>
  </w:sdt>
</w:ftr>
</file>

<file path=word/footer7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8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634919504"/>
    </w:sdtPr>
    <w:sdtContent>
      <w:p>
        <w:pPr>
          <w:pStyle w:val="Footer"/>
          <w:jc w:val="right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9</w:t>
        </w:r>
        <w:r>
          <w:rPr/>
          <w:fldChar w:fldCharType="end"/>
        </w:r>
      </w:p>
      <w:p>
        <w:pPr>
          <w:pStyle w:val="Footer"/>
          <w:rPr/>
        </w:pPr>
        <w:r>
          <w:rPr/>
        </w:r>
      </w:p>
    </w:sdtContent>
  </w:sdt>
</w:ftr>
</file>

<file path=word/footer9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pPr>
        <w:rPr>
          <w:sz w:val="12"/>
        </w:rPr>
      </w:pPr>
      <w:r>
        <w:separator/>
      </w:r>
    </w:p>
  </w:footnote>
  <w:footnote w:id="1" w:type="continuationSeparator">
    <w:p>
      <w:pPr>
        <w:rPr>
          <w:sz w:val="12"/>
        </w:rPr>
      </w:pPr>
      <w:r>
        <w:continuationSeparator/>
      </w:r>
    </w:p>
  </w:footnote>
  <w:footnote w:id="2">
    <w:p>
      <w:pPr>
        <w:pStyle w:val="Normal"/>
        <w:spacing w:lineRule="auto" w:line="240" w:before="0" w:after="0"/>
        <w:jc w:val="both"/>
        <w:rPr/>
      </w:pPr>
      <w:r>
        <w:rPr>
          <w:rStyle w:val="Style3"/>
        </w:rPr>
        <w:footnoteRef/>
      </w:r>
      <w:r>
        <w:rPr/>
        <w:t xml:space="preserve"> </w:t>
      </w:r>
      <w:r>
        <w:rPr>
          <w:rFonts w:ascii="Times New Roman" w:hAnsi="Times New Roman"/>
          <w:sz w:val="20"/>
          <w:szCs w:val="20"/>
        </w:rPr>
        <w:t>На официальном сайте единой межведомственной информационно-статистической системы (ЕМИСС) https://www.fedstat.ru указанная информация представлена по показателю «Среднемесячная номинальная начисленная заработная плата работающих в экономике с 2017 г.», в графе «Классификатор видов экономической деятельности» следует выбрать «Деятельность в области архитектуры и инженерно-технического проектирования; технических испытаний, исследований и анализа»</w:t>
      </w:r>
    </w:p>
  </w:footnote>
  <w:footnote w:id="3">
    <w:p>
      <w:pPr>
        <w:pStyle w:val="FootnoteText"/>
        <w:jc w:val="both"/>
        <w:rPr/>
      </w:pPr>
      <w:r>
        <w:rPr>
          <w:rStyle w:val="Style3"/>
        </w:rPr>
        <w:footnoteRef/>
      </w:r>
      <w:r>
        <w:rPr/>
        <w:t xml:space="preserve"> </w:t>
      </w:r>
      <w:r>
        <w:rPr/>
        <w:t xml:space="preserve">Пункт </w:t>
      </w:r>
      <w:r>
        <w:rPr/>
        <w:fldChar w:fldCharType="begin"/>
      </w:r>
      <w:r>
        <w:rPr/>
        <w:instrText xml:space="preserve"> REF _Ref19086149 \r \h </w:instrText>
      </w:r>
      <w:r>
        <w:rPr/>
        <w:fldChar w:fldCharType="separate"/>
      </w:r>
      <w:r>
        <w:rPr/>
        <w:t>Ошибка! Источник ссылки не найден.</w:t>
      </w:r>
      <w:r>
        <w:rPr/>
        <w:fldChar w:fldCharType="end"/>
      </w:r>
      <w:r>
        <w:rPr/>
        <w:t xml:space="preserve"> учитывается при указании соответствующих услуг, предоставляемых ПАО «РусГидро» подрядным организациям в разделе технических требований «Иные условия поставки товаров, выполнения работ, оказания услуг».  </w:t>
      </w:r>
    </w:p>
  </w:footnote>
  <w:footnote w:id="4">
    <w:p>
      <w:pPr>
        <w:pStyle w:val="FootnoteText"/>
        <w:jc w:val="both"/>
        <w:rPr/>
      </w:pPr>
      <w:r>
        <w:rPr>
          <w:rStyle w:val="Style3"/>
        </w:rPr>
        <w:footnoteRef/>
      </w:r>
      <w:r>
        <w:rPr/>
        <w:t xml:space="preserve"> </w:t>
      </w:r>
      <w:r>
        <w:rPr/>
        <w:t xml:space="preserve">Стоимость электроэнергии определять в соответствии с рекомендациями, изложенными по ссылке </w:t>
      </w:r>
      <w:hyperlink r:id="rId1">
        <w:r>
          <w:rPr>
            <w:rStyle w:val="Hyperlink"/>
          </w:rPr>
          <w:t>http://grandsmeta82.ru/znaj-kak/grand-smeta-baza-znanij/109-raschet-zatrat-na-energonositeli-elektroenergiyu-toplivo-i-pr-v-grand-smete.html</w:t>
        </w:r>
      </w:hyperlink>
      <w:r>
        <w:rPr/>
        <w:t xml:space="preserve"> </w:t>
      </w:r>
    </w:p>
    <w:p>
      <w:pPr>
        <w:pStyle w:val="FootnoteText"/>
        <w:jc w:val="both"/>
        <w:rPr/>
      </w:pPr>
      <w:r>
        <w:rPr/>
      </w:r>
    </w:p>
  </w:footnote>
  <w:footnote w:id="5">
    <w:p>
      <w:pPr>
        <w:pStyle w:val="Normal"/>
        <w:jc w:val="both"/>
        <w:rPr>
          <w:rFonts w:ascii="Times New Roman" w:hAnsi="Times New Roman"/>
          <w:szCs w:val="24"/>
        </w:rPr>
      </w:pPr>
      <w:r>
        <w:rPr>
          <w:rStyle w:val="Style3"/>
        </w:rPr>
        <w:footnoteRef/>
      </w:r>
      <w:r>
        <w:rPr/>
        <w:t xml:space="preserve"> </w:t>
      </w:r>
      <w:r>
        <w:rPr>
          <w:rFonts w:eastAsia="Calibri" w:ascii="Times New Roman" w:hAnsi="Times New Roman"/>
          <w:sz w:val="20"/>
          <w:szCs w:val="20"/>
        </w:rPr>
        <w:t>Размер коэффициента корректируется в соответствии с перечнем предоставляемых услуг, указанным в разделе Технических требований «Иные условия поставки товаров, выполнения работ, оказания услуг». Образец расчета приведен в приложении к приказу от 17.06.2019 № 498.</w:t>
      </w:r>
      <w:r>
        <w:rPr>
          <w:rFonts w:ascii="Times New Roman" w:hAnsi="Times New Roman"/>
          <w:szCs w:val="24"/>
        </w:rPr>
        <w:t xml:space="preserve"> </w:t>
      </w:r>
    </w:p>
    <w:p>
      <w:pPr>
        <w:pStyle w:val="FootnoteText"/>
        <w:rPr/>
      </w:pPr>
      <w:r>
        <w:rPr/>
      </w:r>
    </w:p>
  </w:footnote>
</w:footnote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center"/>
      <w:pPr>
        <w:tabs>
          <w:tab w:val="num" w:pos="567"/>
        </w:tabs>
        <w:ind w:left="567" w:hanging="279"/>
      </w:pPr>
      <w:rPr/>
    </w:lvl>
    <w:lvl w:ilvl="1">
      <w:start w:val="1"/>
      <w:numFmt w:val="decimal"/>
      <w:lvlText w:val="%1.%2."/>
      <w:lvlJc w:val="left"/>
      <w:pPr>
        <w:tabs>
          <w:tab w:val="num" w:pos="1844"/>
        </w:tabs>
        <w:ind w:left="1844" w:hanging="567"/>
      </w:pPr>
      <w:rPr>
        <w:u w:val="none"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851"/>
      </w:pPr>
      <w:rPr>
        <w:dstrike w:val="false"/>
        <w:strike w:val="false"/>
      </w:rPr>
    </w:lvl>
    <w:lvl w:ilvl="3">
      <w:start w:val="1"/>
      <w:numFmt w:val="decimal"/>
      <w:lvlText w:val="%1.%2.%3.%4."/>
      <w:lvlJc w:val="left"/>
      <w:pPr>
        <w:tabs>
          <w:tab w:val="num" w:pos="1277"/>
        </w:tabs>
        <w:ind w:left="1277" w:hanging="567"/>
      </w:pPr>
      <w:rPr/>
    </w:lvl>
    <w:lvl w:ilvl="4">
      <w:start w:val="1"/>
      <w:numFmt w:val="lowerLetter"/>
      <w:lvlText w:val="%5)"/>
      <w:lvlJc w:val="left"/>
      <w:pPr>
        <w:tabs>
          <w:tab w:val="num" w:pos="1718"/>
        </w:tabs>
        <w:ind w:left="1718" w:hanging="1008"/>
      </w:pPr>
      <w:rPr/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/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i w:val="false"/>
        <w:rFonts w:ascii="Garamond" w:hAnsi="Garamond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/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0"/>
        </w:tabs>
        <w:ind w:left="1713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43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15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87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59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31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03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75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473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bullet"/>
      <w:lvlText w:val=""/>
      <w:lvlJc w:val="left"/>
      <w:pPr>
        <w:tabs>
          <w:tab w:val="num" w:pos="0"/>
        </w:tabs>
        <w:ind w:left="1211" w:hanging="360"/>
      </w:pPr>
      <w:rPr>
        <w:rFonts w:ascii="Symbol" w:hAnsi="Symbol" w:cs="Symbol" w:hint="default"/>
        <w:color w:val="00000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36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08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80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52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24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96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68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407" w:hanging="360"/>
      </w:pPr>
      <w:rPr>
        <w:rFonts w:ascii="Wingdings" w:hAnsi="Wingdings" w:cs="Wingdings" w:hint="default"/>
      </w:rPr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0"/>
        </w:tabs>
        <w:ind w:left="928" w:hanging="360"/>
      </w:pPr>
      <w:rPr>
        <w:rFonts w:ascii="Times New Roman" w:hAnsi="Times New Roman" w:eastAsia="Calibri" w:cs="Times New Roman"/>
        <w:color w:val="00000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146" w:hanging="360"/>
      </w:pPr>
      <w:rPr/>
    </w:lvl>
    <w:lvl w:ilvl="2">
      <w:start w:val="1"/>
      <w:numFmt w:val="decimal"/>
      <w:lvlText w:val="%1.%2.%3"/>
      <w:lvlJc w:val="left"/>
      <w:pPr>
        <w:tabs>
          <w:tab w:val="num" w:pos="0"/>
        </w:tabs>
        <w:ind w:left="1724" w:hanging="720"/>
      </w:pPr>
      <w:rPr/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942" w:hanging="720"/>
      </w:pPr>
      <w:rPr/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520" w:hanging="1080"/>
      </w:pPr>
      <w:rPr/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738" w:hanging="1080"/>
      </w:pPr>
      <w:rPr/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316" w:hanging="1440"/>
      </w:pPr>
      <w:rPr/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534" w:hanging="1440"/>
      </w:pPr>
      <w:rPr/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752" w:hanging="1440"/>
      </w:pPr>
      <w:rPr/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0"/>
        </w:tabs>
        <w:ind w:left="6314" w:hanging="360"/>
      </w:pPr>
      <w:rPr>
        <w:sz w:val="22"/>
        <w:i w:val="false"/>
        <w:b w:val="false"/>
        <w:szCs w:val="22"/>
        <w:color w:val="auto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52" w:hanging="450"/>
      </w:pPr>
      <w:rPr>
        <w:sz w:val="22"/>
        <w:b w:val="false"/>
        <w:szCs w:val="22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82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42" w:hanging="720"/>
      </w:pPr>
      <w:rPr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662" w:hanging="1080"/>
      </w:pPr>
      <w:rPr>
        <w:sz w:val="28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022" w:hanging="1080"/>
      </w:pPr>
      <w:rPr>
        <w:sz w:val="28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382" w:hanging="1080"/>
      </w:pPr>
      <w:rPr>
        <w:sz w:val="28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102" w:hanging="1440"/>
      </w:pPr>
      <w:rPr>
        <w:sz w:val="28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462" w:hanging="1440"/>
      </w:pPr>
      <w:rPr>
        <w:sz w:val="28"/>
      </w:rPr>
    </w:lvl>
  </w:abstractNum>
  <w:abstractNum w:abstractNumId="7">
    <w:lvl w:ilvl="0">
      <w:start w:val="1"/>
      <w:numFmt w:val="bullet"/>
      <w:lvlText w:val=""/>
      <w:lvlJc w:val="left"/>
      <w:pPr>
        <w:tabs>
          <w:tab w:val="num" w:pos="0"/>
        </w:tabs>
        <w:ind w:left="347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lvl w:ilvl="0">
      <w:start w:val="1"/>
      <w:numFmt w:val="bullet"/>
      <w:lvlText w:val=""/>
      <w:lvlJc w:val="left"/>
      <w:pPr>
        <w:tabs>
          <w:tab w:val="num" w:pos="0"/>
        </w:tabs>
        <w:ind w:left="786" w:hanging="360"/>
      </w:pPr>
      <w:rPr>
        <w:rFonts w:ascii="Symbol" w:hAnsi="Symbol" w:cs="Symbol" w:hint="default"/>
        <w:b w:val="false"/>
        <w:color w:val="auto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false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9">
    <w:lvl w:ilvl="0">
      <w:start w:val="1"/>
      <w:numFmt w:val="bullet"/>
      <w:lvlText w:val=""/>
      <w:lvlJc w:val="left"/>
      <w:pPr>
        <w:tabs>
          <w:tab w:val="num" w:pos="0"/>
        </w:tabs>
        <w:ind w:left="185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29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01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45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17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614" w:hanging="360"/>
      </w:pPr>
      <w:rPr>
        <w:rFonts w:ascii="Wingdings" w:hAnsi="Wingdings" w:cs="Wingdings" w:hint="default"/>
      </w:rPr>
    </w:lvl>
  </w:abstractNum>
  <w:abstractNum w:abstractNumId="10"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11"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lvl w:ilvl="0">
      <w:start w:val="8"/>
      <w:numFmt w:val="decimal"/>
      <w:lvlText w:val="%1."/>
      <w:lvlJc w:val="left"/>
      <w:pPr>
        <w:tabs>
          <w:tab w:val="num" w:pos="0"/>
        </w:tabs>
        <w:ind w:left="1069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  <w:rPr/>
    </w:lvl>
  </w:abstractNum>
  <w:abstractNum w:abstractNumId="13"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rFonts w:ascii="Times New Roman" w:hAnsi="Times New Roman" w:eastAsia="Calibri" w:cs="Times New Roman"/>
        <w:color w:val="00000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146" w:hanging="360"/>
      </w:pPr>
      <w:rPr/>
    </w:lvl>
    <w:lvl w:ilvl="2">
      <w:start w:val="1"/>
      <w:numFmt w:val="decimal"/>
      <w:lvlText w:val="%1.%2.%3"/>
      <w:lvlJc w:val="left"/>
      <w:pPr>
        <w:tabs>
          <w:tab w:val="num" w:pos="0"/>
        </w:tabs>
        <w:ind w:left="1724" w:hanging="720"/>
      </w:pPr>
      <w:rPr/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942" w:hanging="720"/>
      </w:pPr>
      <w:rPr/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520" w:hanging="1080"/>
      </w:pPr>
      <w:rPr/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738" w:hanging="1080"/>
      </w:pPr>
      <w:rPr/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316" w:hanging="1440"/>
      </w:pPr>
      <w:rPr/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534" w:hanging="1440"/>
      </w:pPr>
      <w:rPr/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752" w:hanging="1440"/>
      </w:pPr>
      <w:rPr/>
    </w:lvl>
  </w:abstractNum>
  <w:abstractNum w:abstractNumId="14">
    <w:lvl w:ilvl="0">
      <w:start w:val="1"/>
      <w:numFmt w:val="bullet"/>
      <w:lvlText w:val=""/>
      <w:lvlJc w:val="left"/>
      <w:pPr>
        <w:tabs>
          <w:tab w:val="num" w:pos="0"/>
        </w:tabs>
        <w:ind w:left="13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2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9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80" w:hanging="360"/>
      </w:pPr>
      <w:rPr>
        <w:rFonts w:ascii="Wingdings" w:hAnsi="Wingdings" w:cs="Wingdings" w:hint="default"/>
      </w:rPr>
    </w:lvl>
  </w:abstractNum>
  <w:abstractNum w:abstractNumId="15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eastAsia="Calibri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16">
    <w:lvl w:ilvl="0">
      <w:start w:val="3"/>
      <w:numFmt w:val="decimal"/>
      <w:lvlText w:val="%1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%1.%2"/>
      <w:lvlJc w:val="left"/>
      <w:pPr>
        <w:tabs>
          <w:tab w:val="num" w:pos="0"/>
        </w:tabs>
        <w:ind w:left="1070" w:hanging="360"/>
      </w:pPr>
      <w:rPr/>
    </w:lvl>
    <w:lvl w:ilvl="2">
      <w:start w:val="1"/>
      <w:numFmt w:val="decimal"/>
      <w:lvlText w:val="%1.%2.%3"/>
      <w:lvlJc w:val="left"/>
      <w:pPr>
        <w:tabs>
          <w:tab w:val="num" w:pos="0"/>
        </w:tabs>
        <w:ind w:left="2140" w:hanging="720"/>
      </w:pPr>
      <w:rPr/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850" w:hanging="720"/>
      </w:pPr>
      <w:rPr/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920" w:hanging="1080"/>
      </w:pPr>
      <w:rPr/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4630" w:hanging="1080"/>
      </w:pPr>
      <w:rPr/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5700" w:hanging="1440"/>
      </w:pPr>
      <w:rPr/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410" w:hanging="1440"/>
      </w:pPr>
      <w:rPr/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7480" w:hanging="1800"/>
      </w:pPr>
      <w:rPr/>
    </w:lvl>
  </w:abstractNum>
  <w:abstractNum w:abstractNumId="17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</w:numbering>
</file>

<file path=word/settings.xml><?xml version="1.0" encoding="utf-8"?>
<w:settings xmlns:w="http://schemas.openxmlformats.org/wordprocessingml/2006/main">
  <w:zoom w:percent="88"/>
  <w:defaultTabStop w:val="708"/>
  <w:autoHyphenation w:val="true"/>
  <w:footnotePr>
    <w:numFmt w:val="decimal"/>
    <w:numRestart w:val="eachPage"/>
    <w:footnote w:id="0"/>
    <w:footnote w:id="1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0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471e4f"/>
    <w:pPr>
      <w:widowControl/>
      <w:bidi w:val="0"/>
      <w:spacing w:lineRule="auto" w:line="276" w:before="0" w:after="200"/>
      <w:jc w:val="left"/>
    </w:pPr>
    <w:rPr>
      <w:rFonts w:ascii="Calibri" w:hAnsi="Calibri" w:eastAsia="Times New Roman" w:cs="Times New Roman" w:asciiTheme="minorHAnsi" w:hAnsiTheme="minorHAnsi"/>
      <w:color w:val="auto"/>
      <w:kern w:val="0"/>
      <w:sz w:val="22"/>
      <w:szCs w:val="22"/>
      <w:lang w:eastAsia="ru-RU" w:val="ru-RU" w:bidi="ar-SA"/>
    </w:rPr>
  </w:style>
  <w:style w:type="paragraph" w:styleId="Heading1">
    <w:name w:val="Heading 1"/>
    <w:basedOn w:val="Normal"/>
    <w:next w:val="Normal"/>
    <w:link w:val="1"/>
    <w:uiPriority w:val="9"/>
    <w:qFormat/>
    <w:rsid w:val="00471e4f"/>
    <w:pPr>
      <w:keepNext w:val="true"/>
      <w:keepLines/>
      <w:spacing w:lineRule="auto" w:line="240"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2"/>
    <w:uiPriority w:val="9"/>
    <w:unhideWhenUsed/>
    <w:qFormat/>
    <w:rsid w:val="00471e4f"/>
    <w:pPr>
      <w:keepNext w:val="true"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3"/>
    <w:uiPriority w:val="9"/>
    <w:qFormat/>
    <w:rsid w:val="00471e4f"/>
    <w:pPr>
      <w:keepNext w:val="true"/>
      <w:keepLines/>
      <w:spacing w:lineRule="auto" w:line="240" w:before="200" w:after="0"/>
      <w:outlineLvl w:val="2"/>
    </w:pPr>
    <w:rPr>
      <w:rFonts w:ascii="Cambria" w:hAnsi="Cambria"/>
      <w:b/>
      <w:bCs/>
      <w:color w:val="4F81BD"/>
      <w:sz w:val="20"/>
      <w:szCs w:val="20"/>
    </w:rPr>
  </w:style>
  <w:style w:type="paragraph" w:styleId="Heading4">
    <w:name w:val="Heading 4"/>
    <w:basedOn w:val="Normal"/>
    <w:next w:val="Normal"/>
    <w:link w:val="4"/>
    <w:uiPriority w:val="9"/>
    <w:qFormat/>
    <w:rsid w:val="00471e4f"/>
    <w:pPr>
      <w:keepNext w:val="true"/>
      <w:keepLines/>
      <w:spacing w:lineRule="auto" w:line="240" w:before="200" w:after="0"/>
      <w:outlineLvl w:val="3"/>
    </w:pPr>
    <w:rPr>
      <w:rFonts w:ascii="Cambria" w:hAnsi="Cambria"/>
      <w:b/>
      <w:bCs/>
      <w:i/>
      <w:iCs/>
      <w:color w:val="4F81BD"/>
      <w:sz w:val="20"/>
      <w:szCs w:val="20"/>
    </w:rPr>
  </w:style>
  <w:style w:type="paragraph" w:styleId="Heading5">
    <w:name w:val="Heading 5"/>
    <w:basedOn w:val="Normal"/>
    <w:next w:val="Normal"/>
    <w:link w:val="5"/>
    <w:uiPriority w:val="9"/>
    <w:qFormat/>
    <w:rsid w:val="00471e4f"/>
    <w:pPr>
      <w:keepNext w:val="true"/>
      <w:keepLines/>
      <w:spacing w:lineRule="auto" w:line="240" w:before="200" w:after="0"/>
      <w:outlineLvl w:val="4"/>
    </w:pPr>
    <w:rPr>
      <w:rFonts w:ascii="Cambria" w:hAnsi="Cambria"/>
      <w:color w:val="243F60"/>
      <w:sz w:val="20"/>
      <w:szCs w:val="20"/>
    </w:rPr>
  </w:style>
  <w:style w:type="paragraph" w:styleId="Heading6">
    <w:name w:val="Heading 6"/>
    <w:basedOn w:val="Normal"/>
    <w:next w:val="Normal"/>
    <w:link w:val="6"/>
    <w:uiPriority w:val="9"/>
    <w:qFormat/>
    <w:rsid w:val="00471e4f"/>
    <w:pPr>
      <w:keepNext w:val="true"/>
      <w:keepLines/>
      <w:spacing w:lineRule="auto" w:line="240" w:before="200" w:after="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Heading7">
    <w:name w:val="Heading 7"/>
    <w:basedOn w:val="Normal"/>
    <w:next w:val="Normal"/>
    <w:link w:val="7"/>
    <w:uiPriority w:val="9"/>
    <w:qFormat/>
    <w:rsid w:val="00471e4f"/>
    <w:pPr>
      <w:keepNext w:val="true"/>
      <w:keepLines/>
      <w:spacing w:lineRule="auto" w:line="240" w:before="200" w:after="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Heading8">
    <w:name w:val="Heading 8"/>
    <w:basedOn w:val="Normal"/>
    <w:next w:val="Normal"/>
    <w:link w:val="8"/>
    <w:uiPriority w:val="9"/>
    <w:qFormat/>
    <w:rsid w:val="00471e4f"/>
    <w:pPr>
      <w:keepNext w:val="true"/>
      <w:keepLines/>
      <w:spacing w:lineRule="auto" w:line="240" w:before="200" w:after="0"/>
      <w:outlineLvl w:val="7"/>
    </w:pPr>
    <w:rPr>
      <w:rFonts w:ascii="Cambria" w:hAnsi="Cambria"/>
      <w:color w:val="4F81BD"/>
      <w:sz w:val="20"/>
      <w:szCs w:val="20"/>
    </w:rPr>
  </w:style>
  <w:style w:type="paragraph" w:styleId="Heading9">
    <w:name w:val="Heading 9"/>
    <w:basedOn w:val="Normal"/>
    <w:next w:val="Normal"/>
    <w:link w:val="9"/>
    <w:uiPriority w:val="9"/>
    <w:qFormat/>
    <w:rsid w:val="00471e4f"/>
    <w:pPr>
      <w:keepNext w:val="true"/>
      <w:keepLines/>
      <w:spacing w:lineRule="auto" w:line="240" w:before="200" w:after="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" w:customStyle="1">
    <w:name w:val="Заголовок 1 Знак"/>
    <w:basedOn w:val="DefaultParagraphFont"/>
    <w:uiPriority w:val="9"/>
    <w:qFormat/>
    <w:rsid w:val="00471e4f"/>
    <w:rPr>
      <w:rFonts w:ascii="Cambria" w:hAnsi="Cambria" w:eastAsia="Times New Roman" w:cs="Times New Roman"/>
      <w:b/>
      <w:bCs/>
      <w:color w:val="365F91"/>
      <w:sz w:val="28"/>
      <w:szCs w:val="28"/>
      <w:lang w:eastAsia="ru-RU"/>
    </w:rPr>
  </w:style>
  <w:style w:type="character" w:styleId="2" w:customStyle="1">
    <w:name w:val="Заголовок 2 Знак"/>
    <w:basedOn w:val="DefaultParagraphFont"/>
    <w:uiPriority w:val="9"/>
    <w:qFormat/>
    <w:rsid w:val="00471e4f"/>
    <w:rPr>
      <w:rFonts w:ascii="Cambria" w:hAnsi="Cambria" w:eastAsia="Times New Roman" w:cs="Times New Roman"/>
      <w:b/>
      <w:bCs/>
      <w:color w:val="4F81BD"/>
      <w:sz w:val="26"/>
      <w:szCs w:val="26"/>
      <w:lang w:eastAsia="ru-RU"/>
    </w:rPr>
  </w:style>
  <w:style w:type="character" w:styleId="3" w:customStyle="1">
    <w:name w:val="Заголовок 3 Знак"/>
    <w:basedOn w:val="DefaultParagraphFont"/>
    <w:uiPriority w:val="9"/>
    <w:qFormat/>
    <w:rsid w:val="00471e4f"/>
    <w:rPr>
      <w:rFonts w:ascii="Cambria" w:hAnsi="Cambria" w:eastAsia="Times New Roman" w:cs="Times New Roman"/>
      <w:b/>
      <w:bCs/>
      <w:color w:val="4F81BD"/>
      <w:sz w:val="20"/>
      <w:szCs w:val="20"/>
      <w:lang w:eastAsia="ru-RU"/>
    </w:rPr>
  </w:style>
  <w:style w:type="character" w:styleId="4" w:customStyle="1">
    <w:name w:val="Заголовок 4 Знак"/>
    <w:basedOn w:val="DefaultParagraphFont"/>
    <w:uiPriority w:val="9"/>
    <w:qFormat/>
    <w:rsid w:val="00471e4f"/>
    <w:rPr>
      <w:rFonts w:ascii="Cambria" w:hAnsi="Cambria" w:eastAsia="Times New Roman" w:cs="Times New Roman"/>
      <w:b/>
      <w:bCs/>
      <w:i/>
      <w:iCs/>
      <w:color w:val="4F81BD"/>
      <w:sz w:val="20"/>
      <w:szCs w:val="20"/>
      <w:lang w:eastAsia="ru-RU"/>
    </w:rPr>
  </w:style>
  <w:style w:type="character" w:styleId="5" w:customStyle="1">
    <w:name w:val="Заголовок 5 Знак"/>
    <w:basedOn w:val="DefaultParagraphFont"/>
    <w:uiPriority w:val="9"/>
    <w:qFormat/>
    <w:rsid w:val="00471e4f"/>
    <w:rPr>
      <w:rFonts w:ascii="Cambria" w:hAnsi="Cambria" w:eastAsia="Times New Roman" w:cs="Times New Roman"/>
      <w:color w:val="243F60"/>
      <w:sz w:val="20"/>
      <w:szCs w:val="20"/>
      <w:lang w:eastAsia="ru-RU"/>
    </w:rPr>
  </w:style>
  <w:style w:type="character" w:styleId="6" w:customStyle="1">
    <w:name w:val="Заголовок 6 Знак"/>
    <w:basedOn w:val="DefaultParagraphFont"/>
    <w:uiPriority w:val="9"/>
    <w:qFormat/>
    <w:rsid w:val="00471e4f"/>
    <w:rPr>
      <w:rFonts w:ascii="Cambria" w:hAnsi="Cambria" w:eastAsia="Times New Roman" w:cs="Times New Roman"/>
      <w:i/>
      <w:iCs/>
      <w:color w:val="243F60"/>
      <w:sz w:val="20"/>
      <w:szCs w:val="20"/>
      <w:lang w:eastAsia="ru-RU"/>
    </w:rPr>
  </w:style>
  <w:style w:type="character" w:styleId="7" w:customStyle="1">
    <w:name w:val="Заголовок 7 Знак"/>
    <w:basedOn w:val="DefaultParagraphFont"/>
    <w:uiPriority w:val="9"/>
    <w:qFormat/>
    <w:rsid w:val="00471e4f"/>
    <w:rPr>
      <w:rFonts w:ascii="Cambria" w:hAnsi="Cambria" w:eastAsia="Times New Roman" w:cs="Times New Roman"/>
      <w:i/>
      <w:iCs/>
      <w:color w:val="404040"/>
      <w:sz w:val="20"/>
      <w:szCs w:val="20"/>
      <w:lang w:eastAsia="ru-RU"/>
    </w:rPr>
  </w:style>
  <w:style w:type="character" w:styleId="8" w:customStyle="1">
    <w:name w:val="Заголовок 8 Знак"/>
    <w:basedOn w:val="DefaultParagraphFont"/>
    <w:uiPriority w:val="9"/>
    <w:qFormat/>
    <w:rsid w:val="00471e4f"/>
    <w:rPr>
      <w:rFonts w:ascii="Cambria" w:hAnsi="Cambria" w:eastAsia="Times New Roman" w:cs="Times New Roman"/>
      <w:color w:val="4F81BD"/>
      <w:sz w:val="20"/>
      <w:szCs w:val="20"/>
      <w:lang w:eastAsia="ru-RU"/>
    </w:rPr>
  </w:style>
  <w:style w:type="character" w:styleId="9" w:customStyle="1">
    <w:name w:val="Заголовок 9 Знак"/>
    <w:basedOn w:val="DefaultParagraphFont"/>
    <w:uiPriority w:val="9"/>
    <w:qFormat/>
    <w:rsid w:val="00471e4f"/>
    <w:rPr>
      <w:rFonts w:ascii="Cambria" w:hAnsi="Cambria" w:eastAsia="Times New Roman" w:cs="Times New Roman"/>
      <w:i/>
      <w:iCs/>
      <w:color w:val="404040"/>
      <w:sz w:val="20"/>
      <w:szCs w:val="20"/>
      <w:lang w:eastAsia="ru-RU"/>
    </w:rPr>
  </w:style>
  <w:style w:type="character" w:styleId="Annotationreference">
    <w:name w:val="annotation reference"/>
    <w:qFormat/>
    <w:rsid w:val="00471e4f"/>
    <w:rPr>
      <w:sz w:val="16"/>
      <w:szCs w:val="16"/>
    </w:rPr>
  </w:style>
  <w:style w:type="character" w:styleId="Style" w:customStyle="1">
    <w:name w:val="Текст примечания Знак"/>
    <w:basedOn w:val="DefaultParagraphFont"/>
    <w:link w:val="Annotationtext"/>
    <w:qFormat/>
    <w:rsid w:val="00471e4f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1" w:customStyle="1">
    <w:name w:val="Текст выноски Знак"/>
    <w:basedOn w:val="DefaultParagraphFont"/>
    <w:link w:val="BalloonText"/>
    <w:uiPriority w:val="99"/>
    <w:semiHidden/>
    <w:qFormat/>
    <w:rsid w:val="00471e4f"/>
    <w:rPr>
      <w:rFonts w:ascii="Tahoma" w:hAnsi="Tahoma" w:eastAsia="Times New Roman" w:cs="Tahoma"/>
      <w:sz w:val="16"/>
      <w:szCs w:val="16"/>
      <w:lang w:eastAsia="ru-RU"/>
    </w:rPr>
  </w:style>
  <w:style w:type="character" w:styleId="Hyperlink">
    <w:name w:val="Hyperlink"/>
    <w:uiPriority w:val="99"/>
    <w:rsid w:val="00471e4f"/>
    <w:rPr>
      <w:color w:val="0000FF"/>
      <w:u w:val="single"/>
    </w:rPr>
  </w:style>
  <w:style w:type="character" w:styleId="Apple-style-span" w:customStyle="1">
    <w:name w:val="apple-style-span"/>
    <w:basedOn w:val="DefaultParagraphFont"/>
    <w:qFormat/>
    <w:rsid w:val="00471e4f"/>
    <w:rPr/>
  </w:style>
  <w:style w:type="character" w:styleId="Apple-converted-space" w:customStyle="1">
    <w:name w:val="apple-converted-space"/>
    <w:basedOn w:val="DefaultParagraphFont"/>
    <w:qFormat/>
    <w:rsid w:val="00471e4f"/>
    <w:rPr/>
  </w:style>
  <w:style w:type="character" w:styleId="Style2" w:customStyle="1">
    <w:name w:val="Текст сноски Знак"/>
    <w:basedOn w:val="DefaultParagraphFont"/>
    <w:uiPriority w:val="99"/>
    <w:qFormat/>
    <w:rsid w:val="00471e4f"/>
    <w:rPr>
      <w:rFonts w:ascii="Times New Roman" w:hAnsi="Times New Roman" w:eastAsia="Calibri" w:cs="Times New Roman"/>
      <w:sz w:val="20"/>
      <w:szCs w:val="20"/>
      <w:lang w:eastAsia="ru-RU"/>
    </w:rPr>
  </w:style>
  <w:style w:type="character" w:styleId="Style3">
    <w:name w:val="Символ сноски"/>
    <w:uiPriority w:val="99"/>
    <w:unhideWhenUsed/>
    <w:qFormat/>
    <w:rsid w:val="00471e4f"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11" w:customStyle="1">
    <w:name w:val="Подпункт Знак1"/>
    <w:link w:val="Style23"/>
    <w:qFormat/>
    <w:locked/>
    <w:rsid w:val="00471e4f"/>
    <w:rPr>
      <w:rFonts w:ascii="Times New Roman" w:hAnsi="Times New Roman" w:eastAsia="Times New Roman" w:cs="Times New Roman"/>
      <w:b/>
      <w:sz w:val="28"/>
      <w:szCs w:val="20"/>
      <w:lang w:eastAsia="ru-RU"/>
    </w:rPr>
  </w:style>
  <w:style w:type="character" w:styleId="Style4" w:customStyle="1">
    <w:name w:val="Верхний колонтитул Знак"/>
    <w:basedOn w:val="DefaultParagraphFont"/>
    <w:uiPriority w:val="99"/>
    <w:qFormat/>
    <w:rsid w:val="00471e4f"/>
    <w:rPr>
      <w:rFonts w:ascii="Calibri" w:hAnsi="Calibri" w:eastAsia="Times New Roman" w:cs="Times New Roman"/>
      <w:lang w:eastAsia="ru-RU"/>
    </w:rPr>
  </w:style>
  <w:style w:type="character" w:styleId="Style5" w:customStyle="1">
    <w:name w:val="Нижний колонтитул Знак"/>
    <w:basedOn w:val="DefaultParagraphFont"/>
    <w:uiPriority w:val="99"/>
    <w:qFormat/>
    <w:rsid w:val="00471e4f"/>
    <w:rPr>
      <w:rFonts w:ascii="Calibri" w:hAnsi="Calibri" w:eastAsia="Times New Roman" w:cs="Times New Roman"/>
      <w:lang w:eastAsia="ru-RU"/>
    </w:rPr>
  </w:style>
  <w:style w:type="character" w:styleId="Linenumber">
    <w:name w:val="line number"/>
    <w:basedOn w:val="DefaultParagraphFont"/>
    <w:uiPriority w:val="99"/>
    <w:semiHidden/>
    <w:unhideWhenUsed/>
    <w:qFormat/>
    <w:rsid w:val="00471e4f"/>
    <w:rPr/>
  </w:style>
  <w:style w:type="character" w:styleId="Style6" w:customStyle="1">
    <w:name w:val="Схема документа Знак"/>
    <w:basedOn w:val="DefaultParagraphFont"/>
    <w:link w:val="DocumentMap"/>
    <w:uiPriority w:val="99"/>
    <w:semiHidden/>
    <w:qFormat/>
    <w:rsid w:val="00471e4f"/>
    <w:rPr>
      <w:rFonts w:ascii="Tahoma" w:hAnsi="Tahoma" w:eastAsia="Times New Roman" w:cs="Tahoma"/>
      <w:sz w:val="16"/>
      <w:szCs w:val="16"/>
      <w:lang w:eastAsia="ru-RU"/>
    </w:rPr>
  </w:style>
  <w:style w:type="character" w:styleId="Style7" w:customStyle="1">
    <w:name w:val="Название Знак"/>
    <w:link w:val="15"/>
    <w:uiPriority w:val="10"/>
    <w:qFormat/>
    <w:rsid w:val="00471e4f"/>
    <w:rPr>
      <w:rFonts w:ascii="Cambria" w:hAnsi="Cambria" w:eastAsia="Times New Roman" w:cs="Times New Roman"/>
      <w:color w:val="17365D"/>
      <w:spacing w:val="5"/>
      <w:kern w:val="2"/>
      <w:sz w:val="52"/>
      <w:szCs w:val="52"/>
      <w:lang w:eastAsia="ru-RU"/>
    </w:rPr>
  </w:style>
  <w:style w:type="character" w:styleId="Style8" w:customStyle="1">
    <w:name w:val="Подзаголовок Знак"/>
    <w:basedOn w:val="DefaultParagraphFont"/>
    <w:uiPriority w:val="11"/>
    <w:qFormat/>
    <w:rsid w:val="00471e4f"/>
    <w:rPr>
      <w:rFonts w:ascii="Cambria" w:hAnsi="Cambria" w:eastAsia="Times New Roman" w:cs="Times New Roman"/>
      <w:i/>
      <w:iCs/>
      <w:color w:val="4F81BD"/>
      <w:spacing w:val="15"/>
      <w:sz w:val="24"/>
      <w:szCs w:val="24"/>
      <w:lang w:eastAsia="ru-RU"/>
    </w:rPr>
  </w:style>
  <w:style w:type="character" w:styleId="Strong">
    <w:name w:val="Strong"/>
    <w:uiPriority w:val="22"/>
    <w:qFormat/>
    <w:rsid w:val="00471e4f"/>
    <w:rPr>
      <w:b/>
      <w:bCs/>
    </w:rPr>
  </w:style>
  <w:style w:type="character" w:styleId="Emphasis">
    <w:name w:val="Emphasis"/>
    <w:uiPriority w:val="20"/>
    <w:qFormat/>
    <w:rsid w:val="00471e4f"/>
    <w:rPr>
      <w:i/>
      <w:iCs/>
    </w:rPr>
  </w:style>
  <w:style w:type="character" w:styleId="21" w:customStyle="1">
    <w:name w:val="Цитата 2 Знак"/>
    <w:basedOn w:val="DefaultParagraphFont"/>
    <w:link w:val="Quote"/>
    <w:uiPriority w:val="29"/>
    <w:qFormat/>
    <w:rsid w:val="00471e4f"/>
    <w:rPr>
      <w:rFonts w:ascii="Calibri" w:hAnsi="Calibri" w:eastAsia="Calibri" w:cs="Times New Roman"/>
      <w:i/>
      <w:iCs/>
      <w:color w:val="000000"/>
      <w:sz w:val="20"/>
      <w:szCs w:val="20"/>
      <w:lang w:eastAsia="ru-RU"/>
    </w:rPr>
  </w:style>
  <w:style w:type="character" w:styleId="Style9" w:customStyle="1">
    <w:name w:val="Выделенная цитата Знак"/>
    <w:basedOn w:val="DefaultParagraphFont"/>
    <w:link w:val="IntenseQuote"/>
    <w:uiPriority w:val="30"/>
    <w:qFormat/>
    <w:rsid w:val="00471e4f"/>
    <w:rPr>
      <w:rFonts w:ascii="Calibri" w:hAnsi="Calibri" w:eastAsia="Calibri" w:cs="Times New Roman"/>
      <w:b/>
      <w:bCs/>
      <w:i/>
      <w:iCs/>
      <w:color w:val="4F81BD"/>
      <w:sz w:val="20"/>
      <w:szCs w:val="20"/>
      <w:lang w:eastAsia="ru-RU"/>
    </w:rPr>
  </w:style>
  <w:style w:type="character" w:styleId="SubtleEmphasis">
    <w:name w:val="Subtle Emphasis"/>
    <w:uiPriority w:val="19"/>
    <w:qFormat/>
    <w:rsid w:val="00471e4f"/>
    <w:rPr>
      <w:i/>
      <w:iCs/>
      <w:color w:val="808080"/>
    </w:rPr>
  </w:style>
  <w:style w:type="character" w:styleId="IntenseEmphasis">
    <w:name w:val="Intense Emphasis"/>
    <w:uiPriority w:val="21"/>
    <w:qFormat/>
    <w:rsid w:val="00471e4f"/>
    <w:rPr>
      <w:b/>
      <w:bCs/>
      <w:i/>
      <w:iCs/>
      <w:color w:val="4F81BD"/>
    </w:rPr>
  </w:style>
  <w:style w:type="character" w:styleId="SubtleReference">
    <w:name w:val="Subtle Reference"/>
    <w:uiPriority w:val="31"/>
    <w:qFormat/>
    <w:rsid w:val="00471e4f"/>
    <w:rPr>
      <w:smallCaps/>
      <w:color w:val="C0504D"/>
      <w:u w:val="single"/>
    </w:rPr>
  </w:style>
  <w:style w:type="character" w:styleId="IntenseReference">
    <w:name w:val="Intense Reference"/>
    <w:uiPriority w:val="32"/>
    <w:qFormat/>
    <w:rsid w:val="00471e4f"/>
    <w:rPr>
      <w:b/>
      <w:bCs/>
      <w:smallCaps/>
      <w:color w:val="C0504D"/>
      <w:spacing w:val="5"/>
      <w:u w:val="single"/>
    </w:rPr>
  </w:style>
  <w:style w:type="character" w:styleId="BookTitle">
    <w:name w:val="Book Title"/>
    <w:uiPriority w:val="33"/>
    <w:qFormat/>
    <w:rsid w:val="00471e4f"/>
    <w:rPr>
      <w:b/>
      <w:bCs/>
      <w:smallCaps/>
      <w:spacing w:val="5"/>
    </w:rPr>
  </w:style>
  <w:style w:type="character" w:styleId="Style10" w:customStyle="1">
    <w:name w:val="Электронная подпись Знак"/>
    <w:basedOn w:val="DefaultParagraphFont"/>
    <w:link w:val="E-mailSignature"/>
    <w:uiPriority w:val="99"/>
    <w:semiHidden/>
    <w:qFormat/>
    <w:rsid w:val="00471e4f"/>
    <w:rPr>
      <w:rFonts w:ascii="Times New Roman" w:hAnsi="Times New Roman" w:eastAsia="Calibri" w:cs="Times New Roman"/>
      <w:sz w:val="24"/>
      <w:szCs w:val="24"/>
      <w:lang w:eastAsia="ru-RU"/>
    </w:rPr>
  </w:style>
  <w:style w:type="character" w:styleId="Style11" w:customStyle="1">
    <w:name w:val="Тема примечания Знак"/>
    <w:basedOn w:val="Style"/>
    <w:link w:val="Annotationsubject"/>
    <w:semiHidden/>
    <w:qFormat/>
    <w:rsid w:val="00471e4f"/>
    <w:rPr>
      <w:rFonts w:ascii="Times New Roman" w:hAnsi="Times New Roman" w:eastAsia="Calibri" w:cs="Times New Roman"/>
      <w:b/>
      <w:bCs/>
      <w:sz w:val="20"/>
      <w:szCs w:val="20"/>
      <w:lang w:eastAsia="ru-RU"/>
    </w:rPr>
  </w:style>
  <w:style w:type="character" w:styleId="Style12" w:customStyle="1">
    <w:name w:val="Основной текст с отступом Знак"/>
    <w:basedOn w:val="DefaultParagraphFont"/>
    <w:qFormat/>
    <w:rsid w:val="00471e4f"/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FollowedHyperlink">
    <w:name w:val="FollowedHyperlink"/>
    <w:uiPriority w:val="99"/>
    <w:semiHidden/>
    <w:unhideWhenUsed/>
    <w:rsid w:val="00471e4f"/>
    <w:rPr>
      <w:color w:val="954F72"/>
      <w:u w:val="single"/>
    </w:rPr>
  </w:style>
  <w:style w:type="character" w:styleId="Style13" w:customStyle="1">
    <w:name w:val="Абзац списка Знак"/>
    <w:link w:val="ListParagraph"/>
    <w:uiPriority w:val="34"/>
    <w:qFormat/>
    <w:rsid w:val="00471e4f"/>
    <w:rPr>
      <w:rFonts w:ascii="Calibri" w:hAnsi="Calibri" w:eastAsia="Times New Roman" w:cs="Times New Roman"/>
      <w:lang w:eastAsia="ru-RU"/>
    </w:rPr>
  </w:style>
  <w:style w:type="character" w:styleId="61" w:customStyle="1">
    <w:name w:val="Основной текст (6)_"/>
    <w:basedOn w:val="DefaultParagraphFont"/>
    <w:link w:val="62"/>
    <w:qFormat/>
    <w:rsid w:val="00471e4f"/>
    <w:rPr>
      <w:rFonts w:ascii="Times New Roman" w:hAnsi="Times New Roman"/>
      <w:shd w:fill="FFFFFF" w:val="clear"/>
    </w:rPr>
  </w:style>
  <w:style w:type="character" w:styleId="Style14" w:customStyle="1">
    <w:name w:val="Колонтитул_"/>
    <w:basedOn w:val="DefaultParagraphFont"/>
    <w:link w:val="Style27"/>
    <w:qFormat/>
    <w:rsid w:val="00471e4f"/>
    <w:rPr>
      <w:rFonts w:ascii="Times New Roman" w:hAnsi="Times New Roman"/>
      <w:shd w:fill="FFFFFF" w:val="clear"/>
    </w:rPr>
  </w:style>
  <w:style w:type="character" w:styleId="Style15" w:customStyle="1">
    <w:name w:val="комментарий"/>
    <w:qFormat/>
    <w:rsid w:val="00471e4f"/>
    <w:rPr>
      <w:b/>
      <w:i/>
      <w:shd w:fill="FFFF99" w:val="clear"/>
    </w:rPr>
  </w:style>
  <w:style w:type="character" w:styleId="ConsPlusNormal" w:customStyle="1">
    <w:name w:val="ConsPlusNormal Знак"/>
    <w:link w:val="ConsPlusNormal1"/>
    <w:qFormat/>
    <w:rsid w:val="00471e4f"/>
    <w:rPr>
      <w:rFonts w:ascii="Arial" w:hAnsi="Arial" w:eastAsia="Times New Roman" w:cs="Arial"/>
      <w:sz w:val="20"/>
      <w:szCs w:val="20"/>
      <w:lang w:eastAsia="ru-RU"/>
    </w:rPr>
  </w:style>
  <w:style w:type="character" w:styleId="12" w:customStyle="1">
    <w:name w:val="Абзац списка Знак1"/>
    <w:basedOn w:val="DefaultParagraphFont"/>
    <w:uiPriority w:val="34"/>
    <w:qFormat/>
    <w:rsid w:val="00471e4f"/>
    <w:rPr>
      <w:rFonts w:ascii="Calibri" w:hAnsi="Calibri"/>
      <w:sz w:val="22"/>
    </w:rPr>
  </w:style>
  <w:style w:type="character" w:styleId="EndnoteReference">
    <w:name w:val="Endnote Reference"/>
    <w:rPr>
      <w:vertAlign w:val="superscript"/>
    </w:rPr>
  </w:style>
  <w:style w:type="character" w:styleId="Style16">
    <w:name w:val="Символ концевой сноски"/>
    <w:qFormat/>
    <w:rPr/>
  </w:style>
  <w:style w:type="paragraph" w:styleId="Style17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/>
  </w:style>
  <w:style w:type="paragraph" w:styleId="ListParagraph">
    <w:name w:val="List Paragraph"/>
    <w:basedOn w:val="Normal"/>
    <w:link w:val="Style13"/>
    <w:uiPriority w:val="34"/>
    <w:qFormat/>
    <w:rsid w:val="00471e4f"/>
    <w:pPr>
      <w:spacing w:before="0" w:after="200"/>
      <w:ind w:left="720" w:hanging="0"/>
      <w:contextualSpacing/>
    </w:pPr>
    <w:rPr/>
  </w:style>
  <w:style w:type="paragraph" w:styleId="Annotationtext">
    <w:name w:val="annotation text"/>
    <w:basedOn w:val="Normal"/>
    <w:link w:val="Style"/>
    <w:qFormat/>
    <w:rsid w:val="00471e4f"/>
    <w:pPr>
      <w:spacing w:lineRule="auto" w:line="240" w:before="0" w:after="0"/>
    </w:pPr>
    <w:rPr>
      <w:rFonts w:ascii="Times New Roman" w:hAnsi="Times New Roman"/>
      <w:sz w:val="20"/>
      <w:szCs w:val="20"/>
    </w:rPr>
  </w:style>
  <w:style w:type="paragraph" w:styleId="BalloonText">
    <w:name w:val="Balloon Text"/>
    <w:basedOn w:val="Normal"/>
    <w:link w:val="Style1"/>
    <w:uiPriority w:val="99"/>
    <w:semiHidden/>
    <w:unhideWhenUsed/>
    <w:qFormat/>
    <w:rsid w:val="00471e4f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Style19" w:customStyle="1">
    <w:name w:val="Обычный+ без отступа"/>
    <w:basedOn w:val="Normal"/>
    <w:qFormat/>
    <w:rsid w:val="00471e4f"/>
    <w:pPr>
      <w:spacing w:lineRule="auto" w:line="360" w:before="120" w:after="0"/>
      <w:jc w:val="both"/>
    </w:pPr>
    <w:rPr>
      <w:rFonts w:ascii="Times New Roman" w:hAnsi="Times New Roman" w:eastAsia="MS Mincho"/>
      <w:sz w:val="28"/>
      <w:szCs w:val="28"/>
    </w:rPr>
  </w:style>
  <w:style w:type="paragraph" w:styleId="Style20" w:customStyle="1">
    <w:name w:val="Таблица шапка"/>
    <w:basedOn w:val="Normal"/>
    <w:qFormat/>
    <w:rsid w:val="00471e4f"/>
    <w:pPr>
      <w:keepNext w:val="true"/>
      <w:spacing w:lineRule="auto" w:line="240" w:before="40" w:after="40"/>
      <w:ind w:left="57" w:right="57" w:hanging="0"/>
    </w:pPr>
    <w:rPr>
      <w:rFonts w:ascii="Times New Roman" w:hAnsi="Times New Roman"/>
      <w:sz w:val="18"/>
      <w:szCs w:val="18"/>
    </w:rPr>
  </w:style>
  <w:style w:type="paragraph" w:styleId="Style21" w:customStyle="1">
    <w:name w:val="Текст таблицы"/>
    <w:basedOn w:val="Normal"/>
    <w:qFormat/>
    <w:rsid w:val="00471e4f"/>
    <w:pPr>
      <w:spacing w:lineRule="auto" w:line="240" w:before="40" w:after="40"/>
      <w:ind w:left="57" w:right="57" w:hanging="0"/>
    </w:pPr>
    <w:rPr>
      <w:rFonts w:ascii="Times New Roman" w:hAnsi="Times New Roman"/>
      <w:sz w:val="24"/>
      <w:szCs w:val="24"/>
    </w:rPr>
  </w:style>
  <w:style w:type="paragraph" w:styleId="Style22" w:customStyle="1">
    <w:name w:val="Пункт Знак"/>
    <w:basedOn w:val="Normal"/>
    <w:qFormat/>
    <w:rsid w:val="00471e4f"/>
    <w:pPr>
      <w:numPr>
        <w:ilvl w:val="1"/>
        <w:numId w:val="1"/>
      </w:numPr>
      <w:tabs>
        <w:tab w:val="clear" w:pos="708"/>
        <w:tab w:val="left" w:pos="851" w:leader="none"/>
        <w:tab w:val="left" w:pos="1134" w:leader="none"/>
      </w:tabs>
      <w:spacing w:lineRule="auto" w:line="360" w:before="0" w:after="0"/>
      <w:jc w:val="both"/>
    </w:pPr>
    <w:rPr>
      <w:rFonts w:ascii="Times New Roman" w:hAnsi="Times New Roman"/>
      <w:b/>
      <w:sz w:val="28"/>
      <w:szCs w:val="20"/>
    </w:rPr>
  </w:style>
  <w:style w:type="paragraph" w:styleId="Style23" w:customStyle="1">
    <w:name w:val="Подпункт"/>
    <w:basedOn w:val="Style22"/>
    <w:link w:val="11"/>
    <w:qFormat/>
    <w:rsid w:val="00471e4f"/>
    <w:pPr>
      <w:numPr>
        <w:ilvl w:val="2"/>
      </w:numPr>
      <w:tabs>
        <w:tab w:val="clear" w:pos="1134"/>
        <w:tab w:val="left" w:pos="851" w:leader="none"/>
      </w:tabs>
    </w:pPr>
    <w:rPr/>
  </w:style>
  <w:style w:type="paragraph" w:styleId="Style24" w:customStyle="1">
    <w:name w:val="Подподпункт"/>
    <w:basedOn w:val="Style23"/>
    <w:qFormat/>
    <w:rsid w:val="00471e4f"/>
    <w:pPr>
      <w:numPr>
        <w:ilvl w:val="3"/>
      </w:numPr>
      <w:tabs>
        <w:tab w:val="left" w:pos="851" w:leader="none"/>
        <w:tab w:val="left" w:pos="1134" w:leader="none"/>
        <w:tab w:val="left" w:pos="1418" w:leader="none"/>
      </w:tabs>
    </w:pPr>
    <w:rPr/>
  </w:style>
  <w:style w:type="paragraph" w:styleId="Style25" w:customStyle="1">
    <w:name w:val="Подподподпункт"/>
    <w:basedOn w:val="Normal"/>
    <w:qFormat/>
    <w:rsid w:val="00471e4f"/>
    <w:pPr>
      <w:numPr>
        <w:ilvl w:val="4"/>
        <w:numId w:val="1"/>
      </w:numPr>
      <w:tabs>
        <w:tab w:val="clear" w:pos="708"/>
        <w:tab w:val="left" w:pos="1134" w:leader="none"/>
        <w:tab w:val="left" w:pos="1701" w:leader="none"/>
      </w:tabs>
      <w:spacing w:lineRule="auto" w:line="360" w:before="0" w:after="0"/>
      <w:jc w:val="both"/>
    </w:pPr>
    <w:rPr>
      <w:rFonts w:ascii="Times New Roman" w:hAnsi="Times New Roman"/>
      <w:sz w:val="28"/>
      <w:szCs w:val="20"/>
    </w:rPr>
  </w:style>
  <w:style w:type="paragraph" w:styleId="13" w:customStyle="1">
    <w:name w:val="Пункт1"/>
    <w:basedOn w:val="Normal"/>
    <w:qFormat/>
    <w:rsid w:val="00471e4f"/>
    <w:pPr>
      <w:numPr>
        <w:ilvl w:val="0"/>
        <w:numId w:val="1"/>
      </w:numPr>
      <w:spacing w:lineRule="auto" w:line="360" w:before="240" w:after="0"/>
      <w:jc w:val="center"/>
    </w:pPr>
    <w:rPr>
      <w:rFonts w:ascii="Arial" w:hAnsi="Arial"/>
      <w:b/>
      <w:sz w:val="28"/>
      <w:szCs w:val="28"/>
    </w:rPr>
  </w:style>
  <w:style w:type="paragraph" w:styleId="31" w:customStyle="1">
    <w:name w:val="Пункт_3"/>
    <w:basedOn w:val="Normal"/>
    <w:uiPriority w:val="99"/>
    <w:qFormat/>
    <w:rsid w:val="00471e4f"/>
    <w:pPr>
      <w:tabs>
        <w:tab w:val="clear" w:pos="708"/>
        <w:tab w:val="left" w:pos="1134" w:leader="none"/>
      </w:tabs>
      <w:spacing w:lineRule="auto" w:line="360" w:before="0" w:after="0"/>
      <w:ind w:left="1134" w:hanging="1133"/>
      <w:jc w:val="both"/>
    </w:pPr>
    <w:rPr>
      <w:rFonts w:ascii="Times New Roman" w:hAnsi="Times New Roman"/>
      <w:sz w:val="28"/>
      <w:szCs w:val="20"/>
    </w:rPr>
  </w:style>
  <w:style w:type="paragraph" w:styleId="TOC1">
    <w:name w:val="TOC 1"/>
    <w:basedOn w:val="Normal"/>
    <w:next w:val="Normal"/>
    <w:autoRedefine/>
    <w:uiPriority w:val="39"/>
    <w:rsid w:val="00471e4f"/>
    <w:pPr>
      <w:tabs>
        <w:tab w:val="clear" w:pos="708"/>
        <w:tab w:val="right" w:pos="9344" w:leader="dot"/>
      </w:tabs>
      <w:spacing w:lineRule="auto" w:line="240" w:before="0" w:after="0"/>
      <w:jc w:val="center"/>
    </w:pPr>
    <w:rPr>
      <w:rFonts w:ascii="Times New Roman" w:hAnsi="Times New Roman"/>
      <w:b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471e4f"/>
    <w:pPr>
      <w:tabs>
        <w:tab w:val="clear" w:pos="708"/>
        <w:tab w:val="left" w:pos="426" w:leader="none"/>
        <w:tab w:val="left" w:pos="1680" w:leader="none"/>
        <w:tab w:val="right" w:pos="9344" w:leader="dot"/>
        <w:tab w:val="right" w:pos="9639" w:leader="dot"/>
      </w:tabs>
      <w:spacing w:before="0" w:after="0"/>
      <w:ind w:left="220" w:hanging="0"/>
    </w:pPr>
    <w:rPr/>
  </w:style>
  <w:style w:type="paragraph" w:styleId="FootnoteText">
    <w:name w:val="Footnote Text"/>
    <w:basedOn w:val="Normal"/>
    <w:link w:val="Style2"/>
    <w:uiPriority w:val="99"/>
    <w:unhideWhenUsed/>
    <w:rsid w:val="00471e4f"/>
    <w:pPr>
      <w:spacing w:lineRule="auto" w:line="240" w:before="0" w:after="0"/>
    </w:pPr>
    <w:rPr>
      <w:rFonts w:ascii="Times New Roman" w:hAnsi="Times New Roman" w:eastAsia="Calibri"/>
      <w:sz w:val="20"/>
      <w:szCs w:val="20"/>
    </w:rPr>
  </w:style>
  <w:style w:type="paragraph" w:styleId="ConsPlusNormal1" w:customStyle="1">
    <w:name w:val="ConsPlusNormal"/>
    <w:link w:val="ConsPlusNormal"/>
    <w:qFormat/>
    <w:rsid w:val="00471e4f"/>
    <w:pPr>
      <w:widowControl w:val="false"/>
      <w:bidi w:val="0"/>
      <w:spacing w:lineRule="auto" w:line="240"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eastAsia="ru-RU" w:val="ru-RU" w:bidi="ar-SA"/>
    </w:rPr>
  </w:style>
  <w:style w:type="paragraph" w:styleId="Style26" w:customStyle="1">
    <w:name w:val="Таблица"/>
    <w:basedOn w:val="Normal"/>
    <w:qFormat/>
    <w:rsid w:val="00471e4f"/>
    <w:pPr>
      <w:spacing w:lineRule="auto" w:line="240" w:before="0" w:after="0"/>
    </w:pPr>
    <w:rPr>
      <w:rFonts w:ascii="Times New Roman" w:hAnsi="Times New Roman"/>
      <w:sz w:val="20"/>
      <w:szCs w:val="20"/>
    </w:rPr>
  </w:style>
  <w:style w:type="paragraph" w:styleId="14" w:customStyle="1">
    <w:name w:val="Абзац списка1"/>
    <w:basedOn w:val="Normal"/>
    <w:qFormat/>
    <w:rsid w:val="00471e4f"/>
    <w:pPr>
      <w:spacing w:before="0" w:after="200"/>
      <w:ind w:left="720" w:hanging="0"/>
      <w:contextualSpacing/>
    </w:pPr>
    <w:rPr/>
  </w:style>
  <w:style w:type="paragraph" w:styleId="Style27" w:customStyle="1">
    <w:name w:val="Колонтитул"/>
    <w:basedOn w:val="Normal"/>
    <w:link w:val="Style14"/>
    <w:qFormat/>
    <w:rsid w:val="00471e4f"/>
    <w:pPr>
      <w:widowControl w:val="false"/>
      <w:shd w:val="clear" w:color="auto" w:fill="FFFFFF"/>
      <w:spacing w:lineRule="auto" w:line="240" w:before="0" w:after="0"/>
    </w:pPr>
    <w:rPr>
      <w:rFonts w:ascii="Times New Roman" w:hAnsi="Times New Roman" w:eastAsia="Calibri" w:cs="" w:cstheme="minorBidi" w:eastAsiaTheme="minorHAnsi"/>
      <w:lang w:eastAsia="en-US"/>
    </w:rPr>
  </w:style>
  <w:style w:type="paragraph" w:styleId="Header">
    <w:name w:val="Header"/>
    <w:basedOn w:val="Normal"/>
    <w:link w:val="Style4"/>
    <w:uiPriority w:val="99"/>
    <w:unhideWhenUsed/>
    <w:rsid w:val="00471e4f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Style5"/>
    <w:uiPriority w:val="99"/>
    <w:unhideWhenUsed/>
    <w:rsid w:val="00471e4f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DocumentMap">
    <w:name w:val="Document Map"/>
    <w:basedOn w:val="Normal"/>
    <w:link w:val="Style6"/>
    <w:uiPriority w:val="99"/>
    <w:semiHidden/>
    <w:unhideWhenUsed/>
    <w:qFormat/>
    <w:rsid w:val="00471e4f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Style28" w:customStyle="1">
    <w:name w:val="Знак Знак Знак Знак Знак Знак Знак Знак Знак"/>
    <w:basedOn w:val="Normal"/>
    <w:qFormat/>
    <w:rsid w:val="00471e4f"/>
    <w:pPr>
      <w:spacing w:lineRule="exact" w:line="240" w:before="0" w:after="160"/>
      <w:jc w:val="both"/>
    </w:pPr>
    <w:rPr>
      <w:rFonts w:ascii="Verdana" w:hAnsi="Verdana" w:cs="Verdana"/>
      <w:lang w:val="en-US"/>
    </w:rPr>
  </w:style>
  <w:style w:type="paragraph" w:styleId="NoSpacing">
    <w:name w:val="No Spacing"/>
    <w:basedOn w:val="Normal"/>
    <w:uiPriority w:val="1"/>
    <w:qFormat/>
    <w:rsid w:val="00471e4f"/>
    <w:pPr>
      <w:spacing w:lineRule="auto" w:line="360" w:before="0" w:after="0"/>
    </w:pPr>
    <w:rPr>
      <w:rFonts w:ascii="Times New Roman" w:hAnsi="Times New Roman" w:eastAsia="Calibri"/>
      <w:sz w:val="24"/>
      <w:szCs w:val="24"/>
    </w:rPr>
  </w:style>
  <w:style w:type="paragraph" w:styleId="Caption1">
    <w:name w:val="caption1"/>
    <w:basedOn w:val="Normal"/>
    <w:next w:val="Normal"/>
    <w:uiPriority w:val="35"/>
    <w:qFormat/>
    <w:rsid w:val="00471e4f"/>
    <w:pPr>
      <w:spacing w:lineRule="auto" w:line="240" w:before="0" w:after="0"/>
    </w:pPr>
    <w:rPr>
      <w:rFonts w:ascii="Times New Roman" w:hAnsi="Times New Roman" w:eastAsia="Calibri"/>
      <w:b/>
      <w:bCs/>
      <w:color w:val="4F81BD"/>
      <w:sz w:val="18"/>
      <w:szCs w:val="18"/>
    </w:rPr>
  </w:style>
  <w:style w:type="paragraph" w:styleId="15" w:customStyle="1">
    <w:name w:val="Название1"/>
    <w:basedOn w:val="Normal"/>
    <w:next w:val="Normal"/>
    <w:link w:val="Style7"/>
    <w:uiPriority w:val="10"/>
    <w:qFormat/>
    <w:rsid w:val="00471e4f"/>
    <w:pPr>
      <w:pBdr>
        <w:bottom w:val="single" w:sz="8" w:space="4" w:color="4F81BD"/>
      </w:pBdr>
      <w:spacing w:lineRule="auto" w:line="240" w:before="0" w:after="300"/>
      <w:contextualSpacing/>
    </w:pPr>
    <w:rPr>
      <w:rFonts w:ascii="Cambria" w:hAnsi="Cambria"/>
      <w:color w:val="17365D"/>
      <w:spacing w:val="5"/>
      <w:kern w:val="2"/>
      <w:sz w:val="52"/>
      <w:szCs w:val="52"/>
    </w:rPr>
  </w:style>
  <w:style w:type="paragraph" w:styleId="Subtitle">
    <w:name w:val="Subtitle"/>
    <w:basedOn w:val="Normal"/>
    <w:next w:val="Normal"/>
    <w:link w:val="Style8"/>
    <w:uiPriority w:val="11"/>
    <w:qFormat/>
    <w:rsid w:val="00471e4f"/>
    <w:pPr>
      <w:numPr>
        <w:ilvl w:val="1"/>
      </w:numPr>
      <w:spacing w:lineRule="auto" w:line="240" w:before="0" w:after="0"/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paragraph" w:styleId="Quote">
    <w:name w:val="Quote"/>
    <w:basedOn w:val="Normal"/>
    <w:next w:val="Normal"/>
    <w:link w:val="21"/>
    <w:uiPriority w:val="29"/>
    <w:qFormat/>
    <w:rsid w:val="00471e4f"/>
    <w:pPr>
      <w:spacing w:lineRule="auto" w:line="240" w:before="0" w:after="0"/>
    </w:pPr>
    <w:rPr>
      <w:rFonts w:eastAsia="Calibri"/>
      <w:i/>
      <w:iCs/>
      <w:color w:val="000000"/>
      <w:sz w:val="20"/>
      <w:szCs w:val="20"/>
    </w:rPr>
  </w:style>
  <w:style w:type="paragraph" w:styleId="IntenseQuote">
    <w:name w:val="Intense Quote"/>
    <w:basedOn w:val="Normal"/>
    <w:next w:val="Normal"/>
    <w:link w:val="Style9"/>
    <w:uiPriority w:val="30"/>
    <w:qFormat/>
    <w:rsid w:val="00471e4f"/>
    <w:pPr>
      <w:pBdr>
        <w:bottom w:val="single" w:sz="4" w:space="4" w:color="4F81BD"/>
      </w:pBdr>
      <w:spacing w:lineRule="auto" w:line="240" w:before="200" w:after="280"/>
      <w:ind w:left="936" w:right="936" w:hanging="0"/>
    </w:pPr>
    <w:rPr>
      <w:rFonts w:eastAsia="Calibri"/>
      <w:b/>
      <w:bCs/>
      <w:i/>
      <w:iCs/>
      <w:color w:val="4F81BD"/>
      <w:sz w:val="20"/>
      <w:szCs w:val="20"/>
    </w:rPr>
  </w:style>
  <w:style w:type="paragraph" w:styleId="IndexHeading">
    <w:name w:val="Index Heading"/>
    <w:basedOn w:val="Style17"/>
    <w:pPr/>
    <w:rPr/>
  </w:style>
  <w:style w:type="paragraph" w:styleId="TOCHeading">
    <w:name w:val="TOC Heading"/>
    <w:basedOn w:val="Heading1"/>
    <w:next w:val="Normal"/>
    <w:uiPriority w:val="39"/>
    <w:qFormat/>
    <w:rsid w:val="00471e4f"/>
    <w:pPr>
      <w:outlineLvl w:val="9"/>
    </w:pPr>
    <w:rPr/>
  </w:style>
  <w:style w:type="paragraph" w:styleId="E-mailSignature">
    <w:name w:val="E-mail Signature"/>
    <w:basedOn w:val="Normal"/>
    <w:link w:val="Style10"/>
    <w:uiPriority w:val="99"/>
    <w:semiHidden/>
    <w:unhideWhenUsed/>
    <w:qFormat/>
    <w:rsid w:val="00471e4f"/>
    <w:pPr>
      <w:spacing w:lineRule="auto" w:line="240" w:before="0" w:after="0"/>
    </w:pPr>
    <w:rPr>
      <w:rFonts w:ascii="Times New Roman" w:hAnsi="Times New Roman" w:eastAsia="Calibri"/>
      <w:sz w:val="24"/>
      <w:szCs w:val="24"/>
    </w:rPr>
  </w:style>
  <w:style w:type="paragraph" w:styleId="Style29" w:customStyle="1">
    <w:name w:val="Знак"/>
    <w:basedOn w:val="Normal"/>
    <w:qFormat/>
    <w:rsid w:val="00471e4f"/>
    <w:pPr>
      <w:spacing w:lineRule="exact" w:line="240" w:before="0" w:after="160"/>
    </w:pPr>
    <w:rPr>
      <w:rFonts w:ascii="Verdana" w:hAnsi="Verdana" w:cs="Verdana"/>
      <w:sz w:val="20"/>
      <w:szCs w:val="20"/>
      <w:lang w:val="en-US"/>
    </w:rPr>
  </w:style>
  <w:style w:type="paragraph" w:styleId="Annotationsubject">
    <w:name w:val="annotation subject"/>
    <w:basedOn w:val="Annotationtext"/>
    <w:next w:val="Annotationtext"/>
    <w:link w:val="Style11"/>
    <w:semiHidden/>
    <w:qFormat/>
    <w:rsid w:val="00471e4f"/>
    <w:pPr/>
    <w:rPr>
      <w:rFonts w:eastAsia="Calibri"/>
      <w:b/>
      <w:bCs/>
    </w:rPr>
  </w:style>
  <w:style w:type="paragraph" w:styleId="32" w:customStyle="1">
    <w:name w:val="Нумерованный список ур3"/>
    <w:basedOn w:val="Normal"/>
    <w:qFormat/>
    <w:rsid w:val="00471e4f"/>
    <w:pPr>
      <w:numPr>
        <w:ilvl w:val="2"/>
        <w:numId w:val="2"/>
      </w:numPr>
      <w:spacing w:lineRule="auto" w:line="240" w:before="0" w:after="0"/>
      <w:jc w:val="both"/>
    </w:pPr>
    <w:rPr>
      <w:rFonts w:ascii="Garamond" w:hAnsi="Garamond"/>
      <w:sz w:val="24"/>
      <w:szCs w:val="20"/>
    </w:rPr>
  </w:style>
  <w:style w:type="paragraph" w:styleId="List3" w:customStyle="1">
    <w:name w:val="List 3"/>
    <w:basedOn w:val="Normal"/>
    <w:rsid w:val="00471e4f"/>
    <w:pPr>
      <w:numPr>
        <w:ilvl w:val="0"/>
        <w:numId w:val="2"/>
      </w:numPr>
      <w:spacing w:lineRule="auto" w:line="240" w:before="120" w:after="0"/>
      <w:jc w:val="both"/>
    </w:pPr>
    <w:rPr>
      <w:rFonts w:ascii="Garamond" w:hAnsi="Garamond"/>
      <w:sz w:val="24"/>
      <w:szCs w:val="20"/>
    </w:rPr>
  </w:style>
  <w:style w:type="paragraph" w:styleId="22" w:customStyle="1">
    <w:name w:val="Нумерованный список ур2"/>
    <w:basedOn w:val="Normal"/>
    <w:qFormat/>
    <w:rsid w:val="00471e4f"/>
    <w:pPr>
      <w:numPr>
        <w:ilvl w:val="1"/>
        <w:numId w:val="2"/>
      </w:numPr>
      <w:spacing w:lineRule="auto" w:line="240" w:before="120" w:after="0"/>
      <w:jc w:val="both"/>
    </w:pPr>
    <w:rPr>
      <w:rFonts w:ascii="Garamond" w:hAnsi="Garamond"/>
      <w:sz w:val="24"/>
      <w:szCs w:val="20"/>
    </w:rPr>
  </w:style>
  <w:style w:type="paragraph" w:styleId="NormalWeb">
    <w:name w:val="Normal (Web)"/>
    <w:basedOn w:val="Normal"/>
    <w:uiPriority w:val="99"/>
    <w:qFormat/>
    <w:rsid w:val="00471e4f"/>
    <w:pPr>
      <w:spacing w:lineRule="auto" w:line="240" w:before="30" w:after="30"/>
    </w:pPr>
    <w:rPr>
      <w:rFonts w:ascii="Arial" w:hAnsi="Arial" w:eastAsia="Arial Unicode MS" w:cs="Arial"/>
      <w:color w:val="332E2D"/>
      <w:spacing w:val="2"/>
      <w:sz w:val="24"/>
      <w:szCs w:val="24"/>
    </w:rPr>
  </w:style>
  <w:style w:type="paragraph" w:styleId="Revision">
    <w:name w:val="Revision"/>
    <w:uiPriority w:val="99"/>
    <w:semiHidden/>
    <w:qFormat/>
    <w:rsid w:val="00471e4f"/>
    <w:pPr>
      <w:widowControl/>
      <w:bidi w:val="0"/>
      <w:spacing w:lineRule="auto" w:line="240" w:before="0" w:after="0"/>
      <w:jc w:val="left"/>
    </w:pPr>
    <w:rPr>
      <w:rFonts w:ascii="Times New Roman" w:hAnsi="Times New Roman" w:eastAsia="Calibri" w:cs="Times New Roman" w:eastAsiaTheme="minorHAnsi"/>
      <w:color w:val="auto"/>
      <w:kern w:val="0"/>
      <w:sz w:val="24"/>
      <w:szCs w:val="24"/>
      <w:lang w:eastAsia="ru-RU" w:val="ru-RU" w:bidi="ar-SA"/>
    </w:rPr>
  </w:style>
  <w:style w:type="paragraph" w:styleId="33" w:customStyle="1">
    <w:name w:val="Знак Знак3 Знак Знак"/>
    <w:basedOn w:val="Normal"/>
    <w:qFormat/>
    <w:rsid w:val="00471e4f"/>
    <w:pPr>
      <w:spacing w:lineRule="exact" w:line="240" w:before="0" w:after="160"/>
      <w:jc w:val="both"/>
    </w:pPr>
    <w:rPr>
      <w:rFonts w:ascii="Verdana" w:hAnsi="Verdana" w:cs="Verdana"/>
      <w:lang w:val="en-US"/>
    </w:rPr>
  </w:style>
  <w:style w:type="paragraph" w:styleId="Style30" w:customStyle="1">
    <w:name w:val="Пункт"/>
    <w:basedOn w:val="Normal"/>
    <w:qFormat/>
    <w:rsid w:val="00471e4f"/>
    <w:pPr>
      <w:widowControl w:val="false"/>
      <w:tabs>
        <w:tab w:val="clear" w:pos="708"/>
        <w:tab w:val="left" w:pos="1134" w:leader="none"/>
      </w:tabs>
      <w:spacing w:lineRule="auto" w:line="360" w:before="120" w:after="0"/>
      <w:ind w:left="1134" w:right="800" w:hanging="1134"/>
      <w:jc w:val="both"/>
    </w:pPr>
    <w:rPr>
      <w:rFonts w:ascii="Arial" w:hAnsi="Arial"/>
      <w:b/>
      <w:i/>
      <w:sz w:val="28"/>
      <w:szCs w:val="20"/>
    </w:rPr>
  </w:style>
  <w:style w:type="paragraph" w:styleId="23" w:customStyle="1">
    <w:name w:val="Абзац списка2"/>
    <w:basedOn w:val="Normal"/>
    <w:qFormat/>
    <w:rsid w:val="00471e4f"/>
    <w:pPr>
      <w:spacing w:before="0" w:after="200"/>
      <w:ind w:left="720" w:hanging="0"/>
      <w:contextualSpacing/>
    </w:pPr>
    <w:rPr/>
  </w:style>
  <w:style w:type="paragraph" w:styleId="BodyTextIndent">
    <w:name w:val="Body Text Indent"/>
    <w:basedOn w:val="Normal"/>
    <w:link w:val="Style12"/>
    <w:rsid w:val="00471e4f"/>
    <w:pPr>
      <w:spacing w:lineRule="auto" w:line="240" w:before="0" w:after="120"/>
      <w:ind w:left="283" w:hanging="0"/>
    </w:pPr>
    <w:rPr>
      <w:rFonts w:ascii="Times New Roman" w:hAnsi="Times New Roman"/>
      <w:sz w:val="28"/>
      <w:szCs w:val="28"/>
    </w:rPr>
  </w:style>
  <w:style w:type="paragraph" w:styleId="Style31" w:customStyle="1">
    <w:name w:val="Знак Знак"/>
    <w:basedOn w:val="Normal"/>
    <w:qFormat/>
    <w:rsid w:val="00471e4f"/>
    <w:pPr>
      <w:spacing w:lineRule="exact" w:line="240" w:before="0" w:after="160"/>
    </w:pPr>
    <w:rPr>
      <w:rFonts w:ascii="Verdana" w:hAnsi="Verdana" w:cs="Verdana"/>
      <w:sz w:val="20"/>
      <w:szCs w:val="20"/>
      <w:lang w:val="en-US" w:eastAsia="en-US"/>
    </w:rPr>
  </w:style>
  <w:style w:type="paragraph" w:styleId="TOC3">
    <w:name w:val="TOC 3"/>
    <w:basedOn w:val="Normal"/>
    <w:next w:val="Normal"/>
    <w:autoRedefine/>
    <w:uiPriority w:val="39"/>
    <w:unhideWhenUsed/>
    <w:rsid w:val="00471e4f"/>
    <w:pPr>
      <w:spacing w:before="0" w:after="100"/>
      <w:ind w:left="440" w:hanging="0"/>
    </w:pPr>
    <w:rPr/>
  </w:style>
  <w:style w:type="paragraph" w:styleId="62" w:customStyle="1">
    <w:name w:val="Основной текст (6)"/>
    <w:basedOn w:val="Normal"/>
    <w:link w:val="61"/>
    <w:qFormat/>
    <w:rsid w:val="00471e4f"/>
    <w:pPr>
      <w:widowControl w:val="false"/>
      <w:shd w:val="clear" w:color="auto" w:fill="FFFFFF"/>
      <w:spacing w:lineRule="auto" w:line="240" w:before="0" w:after="0"/>
      <w:ind w:firstLine="720"/>
      <w:jc w:val="both"/>
    </w:pPr>
    <w:rPr>
      <w:rFonts w:ascii="Times New Roman" w:hAnsi="Times New Roman" w:eastAsia="Calibri" w:cs="" w:cstheme="minorBidi" w:eastAsiaTheme="minorHAnsi"/>
      <w:lang w:eastAsia="en-US"/>
    </w:rPr>
  </w:style>
  <w:style w:type="paragraph" w:styleId="TableListParagraph" w:customStyle="1">
    <w:name w:val="Table List Paragraph"/>
    <w:basedOn w:val="Normal"/>
    <w:qFormat/>
    <w:rsid w:val="00471e4f"/>
    <w:pPr>
      <w:numPr>
        <w:ilvl w:val="0"/>
        <w:numId w:val="11"/>
      </w:numPr>
      <w:tabs>
        <w:tab w:val="clear" w:pos="708"/>
        <w:tab w:val="left" w:pos="360" w:leader="none"/>
      </w:tabs>
      <w:spacing w:lineRule="auto" w:line="240" w:before="0" w:after="0"/>
      <w:jc w:val="both"/>
    </w:pPr>
    <w:rPr>
      <w:rFonts w:ascii="Times New Roman" w:hAnsi="Times New Roman"/>
      <w:sz w:val="24"/>
      <w:szCs w:val="24"/>
    </w:rPr>
  </w:style>
  <w:style w:type="paragraph" w:styleId="Default" w:customStyle="1">
    <w:name w:val="Default"/>
    <w:qFormat/>
    <w:rsid w:val="006b044b"/>
    <w:pPr>
      <w:widowControl/>
      <w:bidi w:val="0"/>
      <w:spacing w:lineRule="auto" w:line="240" w:before="0" w:after="0"/>
      <w:jc w:val="left"/>
    </w:pPr>
    <w:rPr>
      <w:rFonts w:ascii="Times New Roman" w:hAnsi="Times New Roman" w:cs="Times New Roman" w:eastAsia="Calibri"/>
      <w:color w:val="000000"/>
      <w:kern w:val="0"/>
      <w:sz w:val="24"/>
      <w:szCs w:val="24"/>
      <w:lang w:val="ru-RU" w:eastAsia="en-US" w:bidi="ar-SA"/>
    </w:rPr>
  </w:style>
  <w:style w:type="paragraph" w:styleId="ConsPlusNonformat" w:customStyle="1">
    <w:name w:val="ConsPlusNonformat"/>
    <w:basedOn w:val="Normal"/>
    <w:qFormat/>
    <w:rsid w:val="004c6d61"/>
    <w:pPr>
      <w:spacing w:lineRule="auto" w:line="240" w:before="0" w:after="0"/>
    </w:pPr>
    <w:rPr>
      <w:rFonts w:ascii="Courier New" w:hAnsi="Courier New" w:eastAsia="Calibri" w:cs="Courier New" w:eastAsiaTheme="minorHAnsi"/>
      <w:sz w:val="20"/>
      <w:szCs w:val="20"/>
    </w:rPr>
  </w:style>
  <w:style w:type="paragraph" w:styleId="Dt-p" w:customStyle="1">
    <w:name w:val="dt-p"/>
    <w:basedOn w:val="Normal"/>
    <w:qFormat/>
    <w:rsid w:val="001b1b89"/>
    <w:pPr>
      <w:spacing w:lineRule="auto" w:line="240" w:beforeAutospacing="1" w:afterAutospacing="1"/>
    </w:pPr>
    <w:rPr>
      <w:rFonts w:ascii="Times New Roman" w:hAnsi="Times New Roman"/>
      <w:sz w:val="24"/>
      <w:szCs w:val="24"/>
    </w:rPr>
  </w:style>
  <w:style w:type="paragraph" w:styleId="Style32">
    <w:name w:val="Содержимое врезки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a5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e">
    <w:name w:val="Table Grid"/>
    <w:basedOn w:val="a5"/>
    <w:uiPriority w:val="39"/>
    <w:rsid w:val="00471e4f"/>
    <w:pPr>
      <w:spacing w:after="0" w:line="240" w:lineRule="auto"/>
    </w:pPr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footer" Target="footer4.xml"/><Relationship Id="rId6" Type="http://schemas.openxmlformats.org/officeDocument/2006/relationships/footer" Target="footer5.xml"/><Relationship Id="rId7" Type="http://schemas.openxmlformats.org/officeDocument/2006/relationships/hyperlink" Target="consultantplus://offline/ref=B32CDE0E905E401B1BFF323EF993DB2C6865F0A971913444C3F7F56C5AF257E783F32977DF4E2DA4F5ACBC60359FF614F9C1315096B586250A26N" TargetMode="External"/><Relationship Id="rId8" Type="http://schemas.openxmlformats.org/officeDocument/2006/relationships/hyperlink" Target="consultantplus://offline/ref=B32CDE0E905E401B1BFF323EF993DB2C6F6DF7AA75973444C3F7F56C5AF257E783F32977DC422FF8A5E3BD3C70CDE515FFC133518A0B25N" TargetMode="External"/><Relationship Id="rId9" Type="http://schemas.openxmlformats.org/officeDocument/2006/relationships/hyperlink" Target="consultantplus://offline/ref=B32CDE0E905E401B1BFF323EF993DB2C6865F0A971913444C3F7F56C5AF257E783F32977DF4D24ACF0ACBC60359FF614F9C1315096B586250A26N" TargetMode="External"/><Relationship Id="rId10" Type="http://schemas.openxmlformats.org/officeDocument/2006/relationships/hyperlink" Target="consultantplus://offline/ref=B32CDE0E905E401B1BFF323EF993DB2C6F62F6A7789C3444C3F7F56C5AF257E783F32977DF4B25AAFDACBC60359FF614F9C1315096B586250A26N" TargetMode="External"/><Relationship Id="rId11" Type="http://schemas.openxmlformats.org/officeDocument/2006/relationships/hyperlink" Target="consultantplus://offline/ref=B32CDE0E905E401B1BFF323EF993DB2C6F6DF7AA75973444C3F7F56C5AF257E783F32974D8482DA7A0F6AC647CCBFC0BFEDE2F5388B50824N" TargetMode="External"/><Relationship Id="rId12" Type="http://schemas.openxmlformats.org/officeDocument/2006/relationships/footer" Target="footer6.xml"/><Relationship Id="rId13" Type="http://schemas.openxmlformats.org/officeDocument/2006/relationships/footer" Target="footer7.xml"/><Relationship Id="rId14" Type="http://schemas.openxmlformats.org/officeDocument/2006/relationships/footer" Target="footer8.xml"/><Relationship Id="rId15" Type="http://schemas.openxmlformats.org/officeDocument/2006/relationships/footer" Target="footer9.xml"/><Relationship Id="rId16" Type="http://schemas.openxmlformats.org/officeDocument/2006/relationships/footer" Target="footer10.xml"/><Relationship Id="rId17" Type="http://schemas.openxmlformats.org/officeDocument/2006/relationships/footer" Target="footer11.xml"/><Relationship Id="rId18" Type="http://schemas.openxmlformats.org/officeDocument/2006/relationships/footer" Target="footer12.xml"/><Relationship Id="rId19" Type="http://schemas.openxmlformats.org/officeDocument/2006/relationships/footer" Target="footer13.xml"/><Relationship Id="rId20" Type="http://schemas.openxmlformats.org/officeDocument/2006/relationships/footer" Target="footer14.xml"/><Relationship Id="rId21" Type="http://schemas.openxmlformats.org/officeDocument/2006/relationships/footer" Target="footer15.xml"/><Relationship Id="rId22" Type="http://schemas.openxmlformats.org/officeDocument/2006/relationships/image" Target="media/image1.png"/><Relationship Id="rId23" Type="http://schemas.openxmlformats.org/officeDocument/2006/relationships/image" Target="media/image2.png"/><Relationship Id="rId24" Type="http://schemas.openxmlformats.org/officeDocument/2006/relationships/footer" Target="footer16.xml"/><Relationship Id="rId25" Type="http://schemas.openxmlformats.org/officeDocument/2006/relationships/footer" Target="footer17.xml"/><Relationship Id="rId26" Type="http://schemas.openxmlformats.org/officeDocument/2006/relationships/footnotes" Target="footnotes.xml"/><Relationship Id="rId27" Type="http://schemas.openxmlformats.org/officeDocument/2006/relationships/numbering" Target="numbering.xml"/><Relationship Id="rId28" Type="http://schemas.openxmlformats.org/officeDocument/2006/relationships/fontTable" Target="fontTable.xml"/><Relationship Id="rId29" Type="http://schemas.openxmlformats.org/officeDocument/2006/relationships/settings" Target="settings.xml"/><Relationship Id="rId30" Type="http://schemas.openxmlformats.org/officeDocument/2006/relationships/theme" Target="theme/theme1.xml"/><Relationship Id="rId31" Type="http://schemas.openxmlformats.org/officeDocument/2006/relationships/customXml" Target="../customXml/item1.xml"/>
</Relationships>
</file>

<file path=word/_rels/footnotes.xml.rels><?xml version="1.0" encoding="UTF-8"?>
<Relationships xmlns="http://schemas.openxmlformats.org/package/2006/relationships"><Relationship Id="rId1" Type="http://schemas.openxmlformats.org/officeDocument/2006/relationships/hyperlink" Target="http://grandsmeta82.ru/znaj-kak/grand-smeta-baza-znanij/109-raschet-zatrat-na-energonositeli-elektroenergiyu-toplivo-i-pr-v-grand-smete.html" TargetMode="Externa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241429-AA3D-4BE1-993F-2D54F9BBA6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607</TotalTime>
  <Application>AlterOffice/3.4.0.9$Linux_X86_64 LibreOffice_project/b8daf9e823b1a5463a2f48435ddc2e8696e7d4fc</Application>
  <AppVersion>15.0000</AppVersion>
  <Pages>30</Pages>
  <Words>5793</Words>
  <Characters>40934</Characters>
  <CharactersWithSpaces>45626</CharactersWithSpaces>
  <Paragraphs>636</Paragraphs>
  <Company>РусГидро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2023-01-17T12:27:00Z</dcterms:created>
  <dc:creator>Чугунова Ирина Николаевна</dc:creator>
  <dc:description/>
  <dc:language>ru-RU</dc:language>
  <cp:lastModifiedBy>hramovaa@corp.gidroogk.com</cp:lastModifiedBy>
  <cp:lastPrinted>2023-03-14T12:34:00Z</cp:lastPrinted>
  <dcterms:modified xsi:type="dcterms:W3CDTF">2025-06-06T14:20:23Z</dcterms:modified>
  <cp:revision>68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